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81"/>
        <w:gridCol w:w="3181"/>
        <w:gridCol w:w="3553"/>
      </w:tblGrid>
      <w:tr w:rsidR="00A90BF3" w:rsidRPr="00DE171C" w14:paraId="7928732F" w14:textId="77777777" w:rsidTr="0013603A">
        <w:trPr>
          <w:trHeight w:val="2399"/>
        </w:trPr>
        <w:tc>
          <w:tcPr>
            <w:tcW w:w="3181" w:type="dxa"/>
            <w:shd w:val="clear" w:color="auto" w:fill="auto"/>
          </w:tcPr>
          <w:p w14:paraId="6A530DE8" w14:textId="77777777" w:rsidR="00A90BF3" w:rsidRPr="00DE171C" w:rsidRDefault="00A90BF3" w:rsidP="00F316D4">
            <w:pPr>
              <w:pStyle w:val="Footer"/>
              <w:rPr>
                <w:sz w:val="20"/>
                <w:szCs w:val="20"/>
              </w:rPr>
            </w:pPr>
            <w:bookmarkStart w:id="0" w:name="Undo_Change_font_21x41z04"/>
            <w:bookmarkStart w:id="1" w:name="Header"/>
            <w:bookmarkStart w:id="2" w:name="HeaderTable"/>
            <w:bookmarkStart w:id="3" w:name="_GoBack"/>
            <w:bookmarkEnd w:id="0"/>
            <w:bookmarkEnd w:id="3"/>
            <w:r w:rsidRPr="00DE171C">
              <w:rPr>
                <w:sz w:val="20"/>
                <w:szCs w:val="20"/>
                <w:lang w:eastAsia="en-GB"/>
              </w:rPr>
              <w:drawing>
                <wp:inline distT="0" distB="0" distL="0" distR="0" wp14:anchorId="58F893F2" wp14:editId="5350916A">
                  <wp:extent cx="1343025" cy="200025"/>
                  <wp:effectExtent l="0" t="0" r="9525" b="9525"/>
                  <wp:docPr id="1" name="Picture 1" descr="aecom_imagineit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com_imagineit_1mm_border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14:paraId="0F495B05" w14:textId="77777777" w:rsidR="00A90BF3" w:rsidRPr="00DE171C" w:rsidRDefault="00A90BF3" w:rsidP="00F316D4">
            <w:pPr>
              <w:pStyle w:val="Footer"/>
              <w:rPr>
                <w:sz w:val="20"/>
                <w:szCs w:val="20"/>
              </w:rPr>
            </w:pPr>
          </w:p>
          <w:p w14:paraId="0C358B36" w14:textId="77777777" w:rsidR="00A90BF3" w:rsidRPr="00DE171C" w:rsidRDefault="00A90BF3" w:rsidP="00F316D4">
            <w:pPr>
              <w:pStyle w:val="Footer"/>
              <w:rPr>
                <w:sz w:val="20"/>
                <w:szCs w:val="20"/>
              </w:rPr>
            </w:pPr>
          </w:p>
          <w:p w14:paraId="7D2A5986" w14:textId="77777777" w:rsidR="00A90BF3" w:rsidRPr="00DE171C" w:rsidRDefault="00A90BF3" w:rsidP="00F316D4">
            <w:pPr>
              <w:pStyle w:val="Footer"/>
              <w:rPr>
                <w:sz w:val="20"/>
                <w:szCs w:val="20"/>
              </w:rPr>
            </w:pPr>
          </w:p>
          <w:p w14:paraId="5CB971BF" w14:textId="77777777" w:rsidR="00A90BF3" w:rsidRPr="00DE171C" w:rsidRDefault="00A90BF3" w:rsidP="00F316D4">
            <w:pPr>
              <w:pStyle w:val="Footer"/>
              <w:rPr>
                <w:sz w:val="20"/>
                <w:szCs w:val="20"/>
              </w:rPr>
            </w:pPr>
          </w:p>
          <w:p w14:paraId="75E2CF89" w14:textId="77777777" w:rsidR="00A90BF3" w:rsidRPr="00DE171C" w:rsidRDefault="00A90BF3" w:rsidP="00F316D4">
            <w:pPr>
              <w:pStyle w:val="Footer"/>
              <w:rPr>
                <w:sz w:val="20"/>
                <w:szCs w:val="20"/>
              </w:rPr>
            </w:pPr>
          </w:p>
          <w:p w14:paraId="07DCAF76" w14:textId="77777777" w:rsidR="00574C09" w:rsidRPr="00550A9A" w:rsidRDefault="00574C09" w:rsidP="00574C09">
            <w:pPr>
              <w:pStyle w:val="Addressblock"/>
              <w:rPr>
                <w:szCs w:val="20"/>
              </w:rPr>
            </w:pPr>
            <w:bookmarkStart w:id="4" w:name="RecipientAddress"/>
            <w:r w:rsidRPr="00550A9A">
              <w:rPr>
                <w:szCs w:val="20"/>
              </w:rPr>
              <w:t xml:space="preserve">Julia Robins </w:t>
            </w:r>
          </w:p>
          <w:p w14:paraId="3843F592" w14:textId="77777777" w:rsidR="00574C09" w:rsidRPr="00550A9A" w:rsidRDefault="00574C09" w:rsidP="00574C09">
            <w:pPr>
              <w:pStyle w:val="Addressblock"/>
              <w:rPr>
                <w:szCs w:val="20"/>
              </w:rPr>
            </w:pPr>
            <w:r w:rsidRPr="00550A9A">
              <w:rPr>
                <w:szCs w:val="20"/>
              </w:rPr>
              <w:t>Bakerloo Line Extension Planning Manager</w:t>
            </w:r>
          </w:p>
          <w:p w14:paraId="476BA79C" w14:textId="75F7C8AC" w:rsidR="00DE171C" w:rsidRPr="00550A9A" w:rsidRDefault="00574C09" w:rsidP="001F1B8B">
            <w:pPr>
              <w:pStyle w:val="Addressblock"/>
              <w:rPr>
                <w:szCs w:val="20"/>
              </w:rPr>
            </w:pPr>
            <w:r w:rsidRPr="00550A9A">
              <w:rPr>
                <w:szCs w:val="20"/>
              </w:rPr>
              <w:t>London Borough of Lewisham</w:t>
            </w:r>
            <w:bookmarkEnd w:id="4"/>
          </w:p>
        </w:tc>
        <w:tc>
          <w:tcPr>
            <w:tcW w:w="3181" w:type="dxa"/>
            <w:shd w:val="clear" w:color="auto" w:fill="auto"/>
          </w:tcPr>
          <w:p w14:paraId="0809E79D" w14:textId="77777777" w:rsidR="00A90BF3" w:rsidRPr="00DE171C" w:rsidRDefault="00A90BF3" w:rsidP="00F316D4">
            <w:pPr>
              <w:pStyle w:val="Footer"/>
              <w:rPr>
                <w:sz w:val="20"/>
                <w:szCs w:val="20"/>
              </w:rPr>
            </w:pPr>
            <w:bookmarkStart w:id="5" w:name="OfficeAddress2"/>
            <w:r w:rsidRPr="00DE171C">
              <w:rPr>
                <w:sz w:val="20"/>
                <w:szCs w:val="20"/>
              </w:rPr>
              <w:t xml:space="preserve"> </w:t>
            </w:r>
            <w:bookmarkEnd w:id="5"/>
          </w:p>
        </w:tc>
        <w:tc>
          <w:tcPr>
            <w:tcW w:w="3553" w:type="dxa"/>
            <w:shd w:val="clear" w:color="auto" w:fill="auto"/>
          </w:tcPr>
          <w:p w14:paraId="13335505" w14:textId="77777777" w:rsidR="00574C09" w:rsidRPr="00DE171C" w:rsidRDefault="00574C09" w:rsidP="00574C09">
            <w:pPr>
              <w:pStyle w:val="Footer"/>
              <w:rPr>
                <w:szCs w:val="20"/>
              </w:rPr>
            </w:pPr>
            <w:bookmarkStart w:id="6" w:name="OfficeAddress"/>
            <w:r w:rsidRPr="00DE171C">
              <w:rPr>
                <w:szCs w:val="20"/>
              </w:rPr>
              <w:t>AECOM Infrastructure &amp; Environment UK Limited</w:t>
            </w:r>
          </w:p>
          <w:p w14:paraId="33516620" w14:textId="77777777" w:rsidR="00574C09" w:rsidRPr="00DE171C" w:rsidRDefault="00574C09" w:rsidP="00574C09">
            <w:pPr>
              <w:pStyle w:val="Footer"/>
              <w:rPr>
                <w:szCs w:val="20"/>
              </w:rPr>
            </w:pPr>
            <w:r w:rsidRPr="00DE171C">
              <w:rPr>
                <w:szCs w:val="20"/>
              </w:rPr>
              <w:t>2 Leman Street, London E1 8FA</w:t>
            </w:r>
          </w:p>
          <w:p w14:paraId="19E53692" w14:textId="54C7B423" w:rsidR="00A90BF3" w:rsidRPr="00DE171C" w:rsidRDefault="00574C09" w:rsidP="00574C09">
            <w:pPr>
              <w:pStyle w:val="Footer"/>
              <w:rPr>
                <w:szCs w:val="20"/>
              </w:rPr>
            </w:pPr>
            <w:r w:rsidRPr="00DE171C">
              <w:rPr>
                <w:szCs w:val="20"/>
              </w:rPr>
              <w:t>Telephone: 020 7061 7000</w:t>
            </w:r>
          </w:p>
          <w:p w14:paraId="7005090E" w14:textId="77777777" w:rsidR="00A90BF3" w:rsidRPr="00DE171C" w:rsidRDefault="00A90BF3" w:rsidP="00F316D4">
            <w:pPr>
              <w:pStyle w:val="Footer"/>
              <w:rPr>
                <w:szCs w:val="20"/>
              </w:rPr>
            </w:pPr>
            <w:r w:rsidRPr="00DE171C">
              <w:rPr>
                <w:szCs w:val="20"/>
              </w:rPr>
              <w:t>aecom.com</w:t>
            </w:r>
            <w:bookmarkEnd w:id="6"/>
          </w:p>
          <w:p w14:paraId="0D032FBE" w14:textId="77777777" w:rsidR="00A90BF3" w:rsidRPr="00DE171C" w:rsidRDefault="00A90BF3" w:rsidP="00F316D4">
            <w:pPr>
              <w:pStyle w:val="Footer"/>
              <w:rPr>
                <w:szCs w:val="20"/>
              </w:rPr>
            </w:pPr>
            <w:bookmarkStart w:id="7" w:name="HeaderSpace"/>
          </w:p>
          <w:p w14:paraId="222178EA" w14:textId="5FF597F0" w:rsidR="00A90BF3" w:rsidRPr="00DE171C" w:rsidRDefault="008A2FE6" w:rsidP="007259D2">
            <w:pPr>
              <w:pStyle w:val="Header"/>
              <w:rPr>
                <w:sz w:val="20"/>
                <w:szCs w:val="20"/>
              </w:rPr>
            </w:pPr>
            <w:r w:rsidRPr="00DE171C">
              <w:rPr>
                <w:szCs w:val="20"/>
              </w:rPr>
              <w:t xml:space="preserve">21 </w:t>
            </w:r>
            <w:r w:rsidR="00E15272" w:rsidRPr="00DE171C">
              <w:rPr>
                <w:szCs w:val="20"/>
              </w:rPr>
              <w:t>October</w:t>
            </w:r>
            <w:r w:rsidR="005A5EF7" w:rsidRPr="00DE171C">
              <w:rPr>
                <w:szCs w:val="20"/>
              </w:rPr>
              <w:t xml:space="preserve"> 2019</w:t>
            </w:r>
            <w:bookmarkEnd w:id="7"/>
          </w:p>
        </w:tc>
      </w:tr>
      <w:tr w:rsidR="00A90BF3" w:rsidRPr="00DE171C" w14:paraId="34A80B2E" w14:textId="77777777" w:rsidTr="00574C09">
        <w:trPr>
          <w:trHeight w:val="170"/>
        </w:trPr>
        <w:tc>
          <w:tcPr>
            <w:tcW w:w="9915" w:type="dxa"/>
            <w:gridSpan w:val="3"/>
            <w:shd w:val="clear" w:color="auto" w:fill="auto"/>
          </w:tcPr>
          <w:p w14:paraId="1FD7CB89" w14:textId="4B19E69B" w:rsidR="00A90BF3" w:rsidRPr="00DE171C" w:rsidRDefault="00574C09" w:rsidP="00A90BF3">
            <w:pPr>
              <w:rPr>
                <w:b/>
                <w:sz w:val="20"/>
                <w:szCs w:val="20"/>
              </w:rPr>
            </w:pPr>
            <w:bookmarkStart w:id="8" w:name="SubjectDearRow"/>
            <w:r w:rsidRPr="00DE171C">
              <w:rPr>
                <w:b/>
                <w:sz w:val="20"/>
                <w:szCs w:val="20"/>
              </w:rPr>
              <w:t>New Cross Gate Supplementary Planning Document (SPD): SEA Screening Opinion</w:t>
            </w:r>
          </w:p>
        </w:tc>
      </w:tr>
      <w:tr w:rsidR="00A90BF3" w:rsidRPr="00DE171C" w14:paraId="7BA306A0" w14:textId="77777777" w:rsidTr="00574C09">
        <w:trPr>
          <w:trHeight w:hRule="exact" w:val="170"/>
        </w:trPr>
        <w:tc>
          <w:tcPr>
            <w:tcW w:w="9915" w:type="dxa"/>
            <w:gridSpan w:val="3"/>
            <w:shd w:val="clear" w:color="auto" w:fill="auto"/>
          </w:tcPr>
          <w:p w14:paraId="2DC1B755" w14:textId="77777777" w:rsidR="00A90BF3" w:rsidRPr="00DE171C" w:rsidRDefault="00A90BF3" w:rsidP="00F316D4">
            <w:pPr>
              <w:rPr>
                <w:sz w:val="20"/>
                <w:szCs w:val="20"/>
              </w:rPr>
            </w:pPr>
            <w:bookmarkStart w:id="9" w:name="OurRefBlankRow"/>
            <w:bookmarkEnd w:id="9"/>
          </w:p>
        </w:tc>
      </w:tr>
      <w:tr w:rsidR="00A90BF3" w:rsidRPr="00DE171C" w14:paraId="5C8516AC" w14:textId="77777777" w:rsidTr="00574C09">
        <w:trPr>
          <w:trHeight w:val="170"/>
        </w:trPr>
        <w:tc>
          <w:tcPr>
            <w:tcW w:w="9915" w:type="dxa"/>
            <w:gridSpan w:val="3"/>
            <w:shd w:val="clear" w:color="auto" w:fill="auto"/>
          </w:tcPr>
          <w:p w14:paraId="384224A8" w14:textId="7FEBC001" w:rsidR="00A90BF3" w:rsidRPr="00DE171C" w:rsidRDefault="00A90BF3" w:rsidP="00F316D4">
            <w:pPr>
              <w:rPr>
                <w:sz w:val="20"/>
                <w:szCs w:val="20"/>
              </w:rPr>
            </w:pPr>
            <w:bookmarkStart w:id="10" w:name="text_Salutation"/>
            <w:r w:rsidRPr="00DE171C">
              <w:rPr>
                <w:sz w:val="20"/>
                <w:szCs w:val="20"/>
              </w:rPr>
              <w:t>Dear</w:t>
            </w:r>
            <w:bookmarkEnd w:id="10"/>
            <w:r w:rsidRPr="00DE171C">
              <w:rPr>
                <w:sz w:val="20"/>
                <w:szCs w:val="20"/>
              </w:rPr>
              <w:t xml:space="preserve"> </w:t>
            </w:r>
            <w:r w:rsidR="00574C09" w:rsidRPr="00DE171C">
              <w:rPr>
                <w:sz w:val="20"/>
                <w:szCs w:val="20"/>
              </w:rPr>
              <w:t>Julia</w:t>
            </w:r>
          </w:p>
        </w:tc>
      </w:tr>
      <w:tr w:rsidR="00A90BF3" w:rsidRPr="00DE171C" w14:paraId="07271F17" w14:textId="77777777" w:rsidTr="00574C09">
        <w:trPr>
          <w:trHeight w:hRule="exact" w:val="170"/>
        </w:trPr>
        <w:tc>
          <w:tcPr>
            <w:tcW w:w="9915" w:type="dxa"/>
            <w:gridSpan w:val="3"/>
            <w:shd w:val="clear" w:color="auto" w:fill="auto"/>
          </w:tcPr>
          <w:p w14:paraId="78C3B5EC" w14:textId="77777777" w:rsidR="00A90BF3" w:rsidRPr="00DE171C" w:rsidRDefault="00A90BF3" w:rsidP="00F316D4">
            <w:pPr>
              <w:rPr>
                <w:sz w:val="20"/>
                <w:szCs w:val="20"/>
              </w:rPr>
            </w:pPr>
          </w:p>
        </w:tc>
      </w:tr>
    </w:tbl>
    <w:p w14:paraId="4ABA5D90" w14:textId="0DEB544E" w:rsidR="00574C09" w:rsidRPr="00DE171C" w:rsidRDefault="009C1910" w:rsidP="00574C09">
      <w:pPr>
        <w:jc w:val="both"/>
        <w:rPr>
          <w:rFonts w:eastAsia="Times New Roman"/>
          <w:bCs/>
          <w:sz w:val="20"/>
          <w:szCs w:val="20"/>
        </w:rPr>
      </w:pPr>
      <w:bookmarkStart w:id="11" w:name="cc"/>
      <w:bookmarkStart w:id="12" w:name="_Hlk22557784"/>
      <w:bookmarkEnd w:id="1"/>
      <w:bookmarkEnd w:id="2"/>
      <w:bookmarkEnd w:id="8"/>
      <w:bookmarkEnd w:id="11"/>
      <w:r w:rsidRPr="00DE171C">
        <w:rPr>
          <w:rFonts w:eastAsia="Times New Roman"/>
          <w:bCs/>
          <w:sz w:val="20"/>
          <w:szCs w:val="20"/>
        </w:rPr>
        <w:t xml:space="preserve">The </w:t>
      </w:r>
      <w:r w:rsidR="00574C09" w:rsidRPr="00DE171C">
        <w:rPr>
          <w:rFonts w:eastAsia="Times New Roman"/>
          <w:bCs/>
          <w:sz w:val="20"/>
          <w:szCs w:val="20"/>
        </w:rPr>
        <w:t>London Borough of Lewisham (LBL) has asked AECOM to provide a Strategic Environmental Assessment (SEA) Screening Opinion in respect of the New Cross Gate SPD.  This letter presents our Screening Opinion.</w:t>
      </w:r>
    </w:p>
    <w:p w14:paraId="6AA42983" w14:textId="77777777" w:rsidR="00574C09" w:rsidRPr="00DE171C" w:rsidRDefault="00574C09" w:rsidP="00574C09">
      <w:pPr>
        <w:jc w:val="both"/>
        <w:rPr>
          <w:rFonts w:eastAsia="Arial"/>
          <w:sz w:val="20"/>
          <w:szCs w:val="20"/>
        </w:rPr>
      </w:pPr>
    </w:p>
    <w:p w14:paraId="36D97C61" w14:textId="77777777" w:rsidR="00574C09" w:rsidRPr="00DE171C" w:rsidRDefault="00574C09" w:rsidP="00574C09">
      <w:pPr>
        <w:jc w:val="both"/>
        <w:rPr>
          <w:b/>
          <w:sz w:val="20"/>
          <w:szCs w:val="20"/>
        </w:rPr>
      </w:pPr>
      <w:r w:rsidRPr="00DE171C">
        <w:rPr>
          <w:b/>
          <w:sz w:val="20"/>
          <w:szCs w:val="20"/>
        </w:rPr>
        <w:t>Background</w:t>
      </w:r>
    </w:p>
    <w:p w14:paraId="50855D65" w14:textId="77777777" w:rsidR="00574C09" w:rsidRPr="00DE171C" w:rsidRDefault="00574C09" w:rsidP="00574C09">
      <w:pPr>
        <w:jc w:val="both"/>
        <w:rPr>
          <w:sz w:val="20"/>
          <w:szCs w:val="20"/>
        </w:rPr>
      </w:pPr>
    </w:p>
    <w:p w14:paraId="2C9CE962" w14:textId="44C26AC7" w:rsidR="00574C09" w:rsidRPr="00DE171C" w:rsidRDefault="00574C09" w:rsidP="00DE171C">
      <w:pPr>
        <w:jc w:val="both"/>
        <w:rPr>
          <w:sz w:val="20"/>
          <w:szCs w:val="20"/>
        </w:rPr>
      </w:pPr>
      <w:r w:rsidRPr="00DE171C">
        <w:rPr>
          <w:sz w:val="20"/>
          <w:szCs w:val="20"/>
        </w:rPr>
        <w:t xml:space="preserve">The aim of the SEA Directive </w:t>
      </w:r>
      <w:r w:rsidR="009C1910" w:rsidRPr="00DE171C">
        <w:rPr>
          <w:sz w:val="20"/>
          <w:szCs w:val="20"/>
        </w:rPr>
        <w:t xml:space="preserve">(2004/42/EC) </w:t>
      </w:r>
      <w:r w:rsidRPr="00DE171C">
        <w:rPr>
          <w:sz w:val="20"/>
          <w:szCs w:val="20"/>
        </w:rPr>
        <w:t>is as follows:</w:t>
      </w:r>
      <w:r w:rsidR="00DE171C">
        <w:rPr>
          <w:sz w:val="20"/>
          <w:szCs w:val="20"/>
        </w:rPr>
        <w:t xml:space="preserve"> </w:t>
      </w:r>
      <w:r w:rsidRPr="00DE171C">
        <w:rPr>
          <w:i/>
          <w:sz w:val="20"/>
          <w:szCs w:val="20"/>
        </w:rPr>
        <w:t xml:space="preserve">“to contribute to the integration of environmental considerations into the preparation and adoption of plans and programmes with a view to promoting sustainable development, by ensuring that an environmental assessment is carried out </w:t>
      </w:r>
      <w:r w:rsidRPr="00DE171C">
        <w:rPr>
          <w:b/>
          <w:i/>
          <w:sz w:val="20"/>
          <w:szCs w:val="20"/>
        </w:rPr>
        <w:t>of certain plans and programmes which are likely to have significant effects on the environment.</w:t>
      </w:r>
      <w:r w:rsidRPr="00DE171C">
        <w:rPr>
          <w:i/>
          <w:sz w:val="20"/>
          <w:szCs w:val="20"/>
        </w:rPr>
        <w:t>”</w:t>
      </w:r>
      <w:r w:rsidRPr="00DE171C">
        <w:rPr>
          <w:sz w:val="20"/>
          <w:szCs w:val="20"/>
        </w:rPr>
        <w:t xml:space="preserve"> </w:t>
      </w:r>
    </w:p>
    <w:p w14:paraId="1AB21724" w14:textId="77777777" w:rsidR="00574C09" w:rsidRPr="00DE171C" w:rsidRDefault="00574C09" w:rsidP="00574C09">
      <w:pPr>
        <w:jc w:val="both"/>
        <w:rPr>
          <w:sz w:val="20"/>
          <w:szCs w:val="20"/>
        </w:rPr>
      </w:pPr>
    </w:p>
    <w:p w14:paraId="3D2E7EF2" w14:textId="156BE185" w:rsidR="00574C09" w:rsidRPr="00DE171C" w:rsidRDefault="00574C09" w:rsidP="00574C09">
      <w:pPr>
        <w:jc w:val="both"/>
        <w:rPr>
          <w:sz w:val="20"/>
          <w:szCs w:val="20"/>
        </w:rPr>
      </w:pPr>
      <w:r w:rsidRPr="00DE171C">
        <w:rPr>
          <w:sz w:val="20"/>
          <w:szCs w:val="20"/>
        </w:rPr>
        <w:t xml:space="preserve">In order to decide whether an SPD is likely to have significant environmental effects, and hence requires SEA, it should be ‘screened’ at an early stage, i.e. once the </w:t>
      </w:r>
      <w:r w:rsidR="00DE171C">
        <w:rPr>
          <w:sz w:val="20"/>
          <w:szCs w:val="20"/>
        </w:rPr>
        <w:t>scope</w:t>
      </w:r>
      <w:r w:rsidRPr="00DE171C">
        <w:rPr>
          <w:sz w:val="20"/>
          <w:szCs w:val="20"/>
        </w:rPr>
        <w:t xml:space="preserve"> of the SPD </w:t>
      </w:r>
      <w:r w:rsidR="00DE171C">
        <w:rPr>
          <w:sz w:val="20"/>
          <w:szCs w:val="20"/>
        </w:rPr>
        <w:t>has</w:t>
      </w:r>
      <w:r w:rsidRPr="00DE171C">
        <w:rPr>
          <w:sz w:val="20"/>
          <w:szCs w:val="20"/>
        </w:rPr>
        <w:t xml:space="preserve"> been </w:t>
      </w:r>
      <w:r w:rsidR="00DE171C">
        <w:rPr>
          <w:sz w:val="20"/>
          <w:szCs w:val="20"/>
        </w:rPr>
        <w:t>established</w:t>
      </w:r>
      <w:r w:rsidRPr="00DE171C">
        <w:rPr>
          <w:sz w:val="20"/>
          <w:szCs w:val="20"/>
        </w:rPr>
        <w:t xml:space="preserve">.  </w:t>
      </w:r>
    </w:p>
    <w:p w14:paraId="3BC8CC9A" w14:textId="77777777" w:rsidR="00574C09" w:rsidRPr="00DE171C" w:rsidRDefault="00574C09" w:rsidP="00574C09">
      <w:pPr>
        <w:jc w:val="both"/>
        <w:rPr>
          <w:sz w:val="20"/>
          <w:szCs w:val="20"/>
        </w:rPr>
      </w:pPr>
    </w:p>
    <w:p w14:paraId="215DFCC0" w14:textId="77777777" w:rsidR="00574C09" w:rsidRPr="00DE171C" w:rsidRDefault="00574C09" w:rsidP="00574C09">
      <w:pPr>
        <w:jc w:val="both"/>
        <w:rPr>
          <w:b/>
          <w:sz w:val="20"/>
          <w:szCs w:val="20"/>
        </w:rPr>
      </w:pPr>
      <w:r w:rsidRPr="00DE171C">
        <w:rPr>
          <w:b/>
          <w:sz w:val="20"/>
          <w:szCs w:val="20"/>
        </w:rPr>
        <w:t>Who is responsible for screening?</w:t>
      </w:r>
    </w:p>
    <w:p w14:paraId="2DB60C32" w14:textId="77777777" w:rsidR="00574C09" w:rsidRPr="00DE171C" w:rsidRDefault="00574C09" w:rsidP="00574C09">
      <w:pPr>
        <w:jc w:val="both"/>
        <w:rPr>
          <w:sz w:val="20"/>
          <w:szCs w:val="20"/>
        </w:rPr>
      </w:pPr>
    </w:p>
    <w:p w14:paraId="3BFEA7B7" w14:textId="07161C5A" w:rsidR="00574C09" w:rsidRPr="00DE171C" w:rsidRDefault="00574C09" w:rsidP="00574C09">
      <w:pPr>
        <w:jc w:val="both"/>
        <w:rPr>
          <w:sz w:val="20"/>
          <w:szCs w:val="20"/>
        </w:rPr>
      </w:pPr>
      <w:r w:rsidRPr="00DE171C">
        <w:rPr>
          <w:sz w:val="20"/>
          <w:szCs w:val="20"/>
        </w:rPr>
        <w:t>The SEA Regulations, which transpose the SEA Directive into law, state that a screening determination should be reached by ‘the responsible authority’</w:t>
      </w:r>
      <w:r w:rsidR="00DE171C">
        <w:rPr>
          <w:sz w:val="20"/>
          <w:szCs w:val="20"/>
        </w:rPr>
        <w:t xml:space="preserve">, which, in this case, </w:t>
      </w:r>
      <w:r w:rsidRPr="00DE171C">
        <w:rPr>
          <w:sz w:val="20"/>
          <w:szCs w:val="20"/>
        </w:rPr>
        <w:t xml:space="preserve">is London Borough of Lewisham.  </w:t>
      </w:r>
    </w:p>
    <w:p w14:paraId="3374F13F" w14:textId="77777777" w:rsidR="00574C09" w:rsidRPr="00DE171C" w:rsidRDefault="00574C09" w:rsidP="00574C09">
      <w:pPr>
        <w:jc w:val="both"/>
        <w:rPr>
          <w:sz w:val="20"/>
          <w:szCs w:val="20"/>
        </w:rPr>
      </w:pPr>
    </w:p>
    <w:p w14:paraId="2857C898" w14:textId="4263AB40" w:rsidR="00574C09" w:rsidRPr="00DE171C" w:rsidRDefault="00574C09" w:rsidP="00574C09">
      <w:pPr>
        <w:jc w:val="both"/>
        <w:rPr>
          <w:sz w:val="20"/>
          <w:szCs w:val="20"/>
        </w:rPr>
      </w:pPr>
      <w:r w:rsidRPr="00DE171C">
        <w:rPr>
          <w:sz w:val="20"/>
          <w:szCs w:val="20"/>
        </w:rPr>
        <w:t xml:space="preserve">The Council should reach a determination in-light of this screening opinion, and in consultation with the statutory consultation bodies designated under the </w:t>
      </w:r>
      <w:r w:rsidR="00677A16" w:rsidRPr="00DE171C">
        <w:rPr>
          <w:sz w:val="20"/>
          <w:szCs w:val="20"/>
        </w:rPr>
        <w:t xml:space="preserve">Environmental Assessment of Plans and Programmes Regulations 2004 (the </w:t>
      </w:r>
      <w:r w:rsidRPr="00DE171C">
        <w:rPr>
          <w:sz w:val="20"/>
          <w:szCs w:val="20"/>
        </w:rPr>
        <w:t>SEA Regulations</w:t>
      </w:r>
      <w:r w:rsidR="00677A16" w:rsidRPr="00DE171C">
        <w:rPr>
          <w:sz w:val="20"/>
          <w:szCs w:val="20"/>
        </w:rPr>
        <w:t>)</w:t>
      </w:r>
      <w:r w:rsidRPr="00DE171C">
        <w:rPr>
          <w:sz w:val="20"/>
          <w:szCs w:val="20"/>
        </w:rPr>
        <w:t xml:space="preserve"> (Natural England, the Environment Agency and Historic England).  </w:t>
      </w:r>
    </w:p>
    <w:p w14:paraId="4AB7265E" w14:textId="77777777" w:rsidR="00574C09" w:rsidRPr="00DE171C" w:rsidRDefault="00574C09" w:rsidP="00574C09">
      <w:pPr>
        <w:jc w:val="both"/>
        <w:rPr>
          <w:sz w:val="20"/>
          <w:szCs w:val="20"/>
        </w:rPr>
      </w:pPr>
    </w:p>
    <w:p w14:paraId="6F47B1FF" w14:textId="77777777" w:rsidR="00574C09" w:rsidRPr="00DE171C" w:rsidRDefault="00574C09" w:rsidP="00574C09">
      <w:pPr>
        <w:jc w:val="both"/>
        <w:rPr>
          <w:b/>
          <w:sz w:val="20"/>
          <w:szCs w:val="20"/>
        </w:rPr>
      </w:pPr>
      <w:r w:rsidRPr="00DE171C">
        <w:rPr>
          <w:b/>
          <w:sz w:val="20"/>
          <w:szCs w:val="20"/>
        </w:rPr>
        <w:t>Screening methodology</w:t>
      </w:r>
    </w:p>
    <w:p w14:paraId="2C847947" w14:textId="77777777" w:rsidR="00574C09" w:rsidRPr="00DE171C" w:rsidRDefault="00574C09" w:rsidP="00574C09">
      <w:pPr>
        <w:jc w:val="both"/>
        <w:rPr>
          <w:sz w:val="20"/>
          <w:szCs w:val="20"/>
        </w:rPr>
      </w:pPr>
    </w:p>
    <w:p w14:paraId="712D5329" w14:textId="6B75C299" w:rsidR="00574C09" w:rsidRPr="00DE171C" w:rsidRDefault="00574C09" w:rsidP="00574C09">
      <w:pPr>
        <w:jc w:val="both"/>
        <w:rPr>
          <w:sz w:val="20"/>
          <w:szCs w:val="20"/>
        </w:rPr>
      </w:pPr>
      <w:r w:rsidRPr="00DE171C">
        <w:rPr>
          <w:sz w:val="20"/>
          <w:szCs w:val="20"/>
        </w:rPr>
        <w:t>Screening essentially involves giving consideration to the anticipated scope of the plan in question and the nature of environmental issues locally, before coming to a conclusion on the potential for a cause-</w:t>
      </w:r>
      <w:r w:rsidR="00B6257C" w:rsidRPr="00DE171C">
        <w:rPr>
          <w:sz w:val="20"/>
          <w:szCs w:val="20"/>
        </w:rPr>
        <w:t>and-</w:t>
      </w:r>
      <w:r w:rsidRPr="00DE171C">
        <w:rPr>
          <w:sz w:val="20"/>
          <w:szCs w:val="20"/>
        </w:rPr>
        <w:t xml:space="preserve">effect relationship, i.e. the likelihood of the plan leading to ‘significant effects on the environment’.  </w:t>
      </w:r>
    </w:p>
    <w:p w14:paraId="72DC38D6" w14:textId="77777777" w:rsidR="00574C09" w:rsidRPr="00DE171C" w:rsidRDefault="00574C09" w:rsidP="00574C09">
      <w:pPr>
        <w:spacing w:line="240" w:lineRule="auto"/>
        <w:rPr>
          <w:sz w:val="20"/>
          <w:szCs w:val="20"/>
        </w:rPr>
      </w:pPr>
    </w:p>
    <w:p w14:paraId="057D6E25" w14:textId="77777777" w:rsidR="00574C09" w:rsidRPr="00DE171C" w:rsidRDefault="00574C09" w:rsidP="00574C09">
      <w:pPr>
        <w:spacing w:line="240" w:lineRule="auto"/>
        <w:jc w:val="both"/>
        <w:rPr>
          <w:b/>
          <w:sz w:val="20"/>
          <w:szCs w:val="20"/>
        </w:rPr>
      </w:pPr>
      <w:r w:rsidRPr="00DE171C">
        <w:rPr>
          <w:sz w:val="20"/>
          <w:szCs w:val="20"/>
        </w:rPr>
        <w:t>Schedule 1 of the SEA Regulations lists a series of criteria that should be taken into account when establishing the potential for the plan to result in significant effects.  Furthermore, Schedule 2 lists a series of broad environmental issues that should be considered.  The criteria/issues listed in the Regulations are helpful in that they provide a methodological basis for screening.</w:t>
      </w:r>
    </w:p>
    <w:p w14:paraId="37F7336B" w14:textId="77777777" w:rsidR="00574C09" w:rsidRPr="00DE171C" w:rsidRDefault="00574C09" w:rsidP="00574C09">
      <w:pPr>
        <w:jc w:val="both"/>
        <w:rPr>
          <w:b/>
          <w:sz w:val="20"/>
          <w:szCs w:val="20"/>
        </w:rPr>
      </w:pPr>
    </w:p>
    <w:p w14:paraId="217C6FA2" w14:textId="79E82ACD" w:rsidR="00574C09" w:rsidRPr="00DE171C" w:rsidRDefault="00574C09" w:rsidP="00574C09">
      <w:pPr>
        <w:jc w:val="both"/>
        <w:rPr>
          <w:sz w:val="20"/>
          <w:szCs w:val="20"/>
        </w:rPr>
      </w:pPr>
      <w:r w:rsidRPr="00DE171C">
        <w:rPr>
          <w:sz w:val="20"/>
          <w:szCs w:val="20"/>
        </w:rPr>
        <w:t>Finally, there is a need to note the following Planning Practice Guidance (with emphasis added):</w:t>
      </w:r>
      <w:r w:rsidRPr="00DE171C">
        <w:rPr>
          <w:rStyle w:val="FootnoteReference"/>
          <w:sz w:val="20"/>
          <w:szCs w:val="20"/>
        </w:rPr>
        <w:footnoteReference w:id="1"/>
      </w:r>
    </w:p>
    <w:p w14:paraId="3DD35293" w14:textId="77777777" w:rsidR="00574C09" w:rsidRPr="00DE171C" w:rsidRDefault="00574C09" w:rsidP="00574C09">
      <w:pPr>
        <w:jc w:val="both"/>
        <w:rPr>
          <w:sz w:val="20"/>
          <w:szCs w:val="20"/>
        </w:rPr>
      </w:pPr>
    </w:p>
    <w:p w14:paraId="5DC03C2C" w14:textId="2396C9F9" w:rsidR="00574C09" w:rsidRPr="00DE171C" w:rsidRDefault="00574C09" w:rsidP="00574C09">
      <w:pPr>
        <w:ind w:left="720"/>
        <w:jc w:val="both"/>
        <w:rPr>
          <w:i/>
          <w:sz w:val="20"/>
          <w:szCs w:val="20"/>
        </w:rPr>
      </w:pPr>
      <w:r w:rsidRPr="00DE171C">
        <w:rPr>
          <w:i/>
          <w:sz w:val="20"/>
          <w:szCs w:val="20"/>
        </w:rPr>
        <w:t xml:space="preserve">“Supplementary planning documents do not require a sustainability appraisal but may in </w:t>
      </w:r>
      <w:r w:rsidRPr="00DE171C">
        <w:rPr>
          <w:b/>
          <w:i/>
          <w:sz w:val="20"/>
          <w:szCs w:val="20"/>
        </w:rPr>
        <w:t>exceptional circumstances</w:t>
      </w:r>
      <w:r w:rsidRPr="00DE171C">
        <w:rPr>
          <w:i/>
          <w:sz w:val="20"/>
          <w:szCs w:val="20"/>
        </w:rPr>
        <w:t xml:space="preserve"> require a strategic environmental assessment if they are likely to have significant environmental effects that have not already have been assessed during the preparation of the relevant strategic policies.</w:t>
      </w:r>
    </w:p>
    <w:p w14:paraId="32D14C83" w14:textId="77777777" w:rsidR="00574C09" w:rsidRPr="00DE171C" w:rsidRDefault="00574C09" w:rsidP="00574C09">
      <w:pPr>
        <w:ind w:left="720"/>
        <w:jc w:val="both"/>
        <w:rPr>
          <w:i/>
          <w:sz w:val="20"/>
          <w:szCs w:val="20"/>
        </w:rPr>
      </w:pPr>
    </w:p>
    <w:p w14:paraId="2270FFFA" w14:textId="77777777" w:rsidR="00574C09" w:rsidRPr="00DE171C" w:rsidRDefault="00574C09" w:rsidP="00574C09">
      <w:pPr>
        <w:ind w:left="720"/>
        <w:jc w:val="both"/>
        <w:rPr>
          <w:i/>
          <w:sz w:val="20"/>
          <w:szCs w:val="20"/>
        </w:rPr>
      </w:pPr>
      <w:r w:rsidRPr="00DE171C">
        <w:rPr>
          <w:i/>
          <w:sz w:val="20"/>
          <w:szCs w:val="20"/>
        </w:rPr>
        <w:t xml:space="preserve">A strategic environmental assessment is unlikely to be required where a supplementary planning document deals only with a </w:t>
      </w:r>
      <w:r w:rsidRPr="00DE171C">
        <w:rPr>
          <w:b/>
          <w:i/>
          <w:sz w:val="20"/>
          <w:szCs w:val="20"/>
        </w:rPr>
        <w:t>small area</w:t>
      </w:r>
      <w:r w:rsidRPr="00DE171C">
        <w:rPr>
          <w:i/>
          <w:sz w:val="20"/>
          <w:szCs w:val="20"/>
        </w:rPr>
        <w:t xml:space="preserve"> at a local level, unless it is considered that there are likely to be significant environmental effects.”</w:t>
      </w:r>
    </w:p>
    <w:p w14:paraId="01F989A1" w14:textId="77777777" w:rsidR="0013603A" w:rsidRDefault="0013603A">
      <w:pPr>
        <w:spacing w:line="240" w:lineRule="auto"/>
        <w:rPr>
          <w:b/>
          <w:sz w:val="20"/>
          <w:szCs w:val="20"/>
        </w:rPr>
      </w:pPr>
      <w:r>
        <w:rPr>
          <w:b/>
          <w:sz w:val="20"/>
          <w:szCs w:val="20"/>
        </w:rPr>
        <w:br w:type="page"/>
      </w:r>
    </w:p>
    <w:p w14:paraId="2BE6B077" w14:textId="36E172B0" w:rsidR="00574C09" w:rsidRPr="00DE171C" w:rsidRDefault="00574C09" w:rsidP="00574C09">
      <w:pPr>
        <w:jc w:val="both"/>
        <w:rPr>
          <w:b/>
          <w:sz w:val="20"/>
          <w:szCs w:val="20"/>
        </w:rPr>
      </w:pPr>
      <w:r w:rsidRPr="00DE171C">
        <w:rPr>
          <w:b/>
          <w:sz w:val="20"/>
          <w:szCs w:val="20"/>
        </w:rPr>
        <w:lastRenderedPageBreak/>
        <w:t>The emerging New Cross Gate SPD</w:t>
      </w:r>
    </w:p>
    <w:p w14:paraId="4C0C9148" w14:textId="77777777" w:rsidR="00574C09" w:rsidRPr="00DE171C" w:rsidRDefault="00574C09" w:rsidP="00574C09">
      <w:pPr>
        <w:jc w:val="both"/>
        <w:rPr>
          <w:sz w:val="20"/>
          <w:szCs w:val="20"/>
        </w:rPr>
      </w:pPr>
    </w:p>
    <w:p w14:paraId="192E5F02" w14:textId="77777777" w:rsidR="00574C09" w:rsidRPr="00DE171C" w:rsidRDefault="00574C09" w:rsidP="00574C09">
      <w:pPr>
        <w:jc w:val="both"/>
        <w:rPr>
          <w:sz w:val="20"/>
          <w:szCs w:val="20"/>
        </w:rPr>
      </w:pPr>
      <w:r w:rsidRPr="00DE171C">
        <w:rPr>
          <w:sz w:val="20"/>
          <w:szCs w:val="20"/>
        </w:rPr>
        <w:t xml:space="preserve">The aim of the New Cross Gate SPD is to supplement the adopted Lewisham Local Plan by providing additional guidance to help ensure that forthcoming developments at New Cross Gate are planned in a coherent way and deliver a high-quality built environment and public realm.  The area covered by the SPD comprises New Cross Gate station and surrounding land – see </w:t>
      </w:r>
      <w:r w:rsidRPr="00DE171C">
        <w:rPr>
          <w:b/>
          <w:sz w:val="20"/>
          <w:szCs w:val="20"/>
        </w:rPr>
        <w:t>Figure 1</w:t>
      </w:r>
      <w:r w:rsidRPr="00DE171C">
        <w:rPr>
          <w:sz w:val="20"/>
          <w:szCs w:val="20"/>
        </w:rPr>
        <w:t xml:space="preserve">.  </w:t>
      </w:r>
    </w:p>
    <w:p w14:paraId="22FFA020" w14:textId="77777777" w:rsidR="00574C09" w:rsidRPr="00DE171C" w:rsidRDefault="00574C09" w:rsidP="00574C09">
      <w:pPr>
        <w:jc w:val="both"/>
        <w:rPr>
          <w:sz w:val="20"/>
          <w:szCs w:val="20"/>
        </w:rPr>
      </w:pPr>
    </w:p>
    <w:p w14:paraId="43AEC1A5" w14:textId="77777777" w:rsidR="00574C09" w:rsidRPr="00DE171C" w:rsidRDefault="00574C09" w:rsidP="001F1B8B">
      <w:pPr>
        <w:spacing w:after="120"/>
        <w:jc w:val="both"/>
        <w:rPr>
          <w:i/>
          <w:sz w:val="20"/>
          <w:szCs w:val="20"/>
        </w:rPr>
      </w:pPr>
      <w:r w:rsidRPr="00DE171C">
        <w:rPr>
          <w:i/>
          <w:sz w:val="20"/>
          <w:szCs w:val="20"/>
        </w:rPr>
        <w:t>Figure 1: The area covered by the SPD</w:t>
      </w:r>
    </w:p>
    <w:p w14:paraId="037F40A6" w14:textId="04F19269" w:rsidR="001F1B8B" w:rsidRPr="00DE171C" w:rsidRDefault="00574C09">
      <w:pPr>
        <w:spacing w:line="240" w:lineRule="auto"/>
        <w:rPr>
          <w:sz w:val="20"/>
          <w:szCs w:val="20"/>
        </w:rPr>
      </w:pPr>
      <w:r w:rsidRPr="00DE171C">
        <w:rPr>
          <w:noProof/>
          <w:sz w:val="20"/>
          <w:szCs w:val="20"/>
          <w:lang w:eastAsia="en-GB"/>
        </w:rPr>
        <w:drawing>
          <wp:inline distT="0" distB="0" distL="0" distR="0" wp14:anchorId="554AA622" wp14:editId="497DA120">
            <wp:extent cx="4572000" cy="7620002"/>
            <wp:effectExtent l="0" t="0" r="0" b="0"/>
            <wp:docPr id="11" name="Picture 11" descr="NXG SPD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XG SPD Area Pl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3576" cy="7639296"/>
                    </a:xfrm>
                    <a:prstGeom prst="rect">
                      <a:avLst/>
                    </a:prstGeom>
                    <a:noFill/>
                    <a:ln>
                      <a:noFill/>
                    </a:ln>
                  </pic:spPr>
                </pic:pic>
              </a:graphicData>
            </a:graphic>
          </wp:inline>
        </w:drawing>
      </w:r>
      <w:r w:rsidR="001F1B8B" w:rsidRPr="00DE171C">
        <w:rPr>
          <w:sz w:val="20"/>
          <w:szCs w:val="20"/>
        </w:rPr>
        <w:br w:type="page"/>
      </w:r>
    </w:p>
    <w:p w14:paraId="2E05B911" w14:textId="407785FA" w:rsidR="00574C09" w:rsidRPr="00DE171C" w:rsidRDefault="00574C09" w:rsidP="00574C09">
      <w:pPr>
        <w:jc w:val="both"/>
        <w:rPr>
          <w:sz w:val="20"/>
          <w:szCs w:val="20"/>
        </w:rPr>
      </w:pPr>
      <w:r w:rsidRPr="00DE171C">
        <w:rPr>
          <w:sz w:val="20"/>
          <w:szCs w:val="20"/>
        </w:rPr>
        <w:lastRenderedPageBreak/>
        <w:t xml:space="preserve">The SPD </w:t>
      </w:r>
      <w:r w:rsidR="001F1B8B" w:rsidRPr="00DE171C">
        <w:rPr>
          <w:sz w:val="20"/>
          <w:szCs w:val="20"/>
        </w:rPr>
        <w:t>a</w:t>
      </w:r>
      <w:r w:rsidRPr="00DE171C">
        <w:rPr>
          <w:sz w:val="20"/>
          <w:szCs w:val="20"/>
        </w:rPr>
        <w:t>rea is bisected by railway lines running through the site, with allocated development sites either side of the railway.  Specifically</w:t>
      </w:r>
      <w:r w:rsidR="001F1B8B" w:rsidRPr="00DE171C">
        <w:rPr>
          <w:sz w:val="20"/>
          <w:szCs w:val="20"/>
        </w:rPr>
        <w:t>,</w:t>
      </w:r>
      <w:r w:rsidRPr="00DE171C">
        <w:rPr>
          <w:sz w:val="20"/>
          <w:szCs w:val="20"/>
        </w:rPr>
        <w:t xml:space="preserve"> the Site Allocations Local Plan (2013)</w:t>
      </w:r>
      <w:r w:rsidRPr="00DE171C">
        <w:rPr>
          <w:rStyle w:val="FootnoteReference"/>
          <w:sz w:val="20"/>
          <w:szCs w:val="20"/>
        </w:rPr>
        <w:footnoteReference w:id="2"/>
      </w:r>
      <w:r w:rsidRPr="00DE171C">
        <w:rPr>
          <w:sz w:val="20"/>
          <w:szCs w:val="20"/>
        </w:rPr>
        <w:t xml:space="preserve"> allocates:</w:t>
      </w:r>
    </w:p>
    <w:p w14:paraId="2C9985F6" w14:textId="77777777" w:rsidR="00574C09" w:rsidRPr="00DE171C" w:rsidRDefault="00574C09" w:rsidP="00574C09">
      <w:pPr>
        <w:pStyle w:val="ListParagraph"/>
        <w:numPr>
          <w:ilvl w:val="0"/>
          <w:numId w:val="31"/>
        </w:numPr>
        <w:spacing w:before="120" w:after="120" w:line="260" w:lineRule="exact"/>
        <w:ind w:left="714" w:hanging="357"/>
        <w:jc w:val="both"/>
        <w:rPr>
          <w:sz w:val="20"/>
          <w:szCs w:val="20"/>
        </w:rPr>
      </w:pPr>
      <w:r w:rsidRPr="00DE171C">
        <w:rPr>
          <w:sz w:val="20"/>
          <w:szCs w:val="20"/>
        </w:rPr>
        <w:t>Hatcham Works (west of the railway) – allocated for c.200 homes along with retail, community facilities and a new station and public space; and</w:t>
      </w:r>
    </w:p>
    <w:p w14:paraId="18B4FE78" w14:textId="783E67E6" w:rsidR="00574C09" w:rsidRPr="00DE171C" w:rsidRDefault="00574C09" w:rsidP="00574C09">
      <w:pPr>
        <w:pStyle w:val="ListParagraph"/>
        <w:numPr>
          <w:ilvl w:val="0"/>
          <w:numId w:val="31"/>
        </w:numPr>
        <w:spacing w:before="120" w:after="120" w:line="260" w:lineRule="exact"/>
        <w:ind w:left="714" w:hanging="357"/>
        <w:jc w:val="both"/>
        <w:rPr>
          <w:sz w:val="20"/>
          <w:szCs w:val="20"/>
        </w:rPr>
      </w:pPr>
      <w:r w:rsidRPr="00DE171C">
        <w:rPr>
          <w:sz w:val="20"/>
          <w:szCs w:val="20"/>
        </w:rPr>
        <w:t xml:space="preserve">Goodwood Road (east of the railway) – allocated for c.148 homes </w:t>
      </w:r>
      <w:r w:rsidR="00550A9A">
        <w:rPr>
          <w:sz w:val="20"/>
          <w:szCs w:val="20"/>
        </w:rPr>
        <w:t>plus</w:t>
      </w:r>
      <w:r w:rsidRPr="00DE171C">
        <w:rPr>
          <w:sz w:val="20"/>
          <w:szCs w:val="20"/>
        </w:rPr>
        <w:t xml:space="preserve"> retail and business uses.</w:t>
      </w:r>
    </w:p>
    <w:p w14:paraId="7292FBBC" w14:textId="445B8F60" w:rsidR="00574C09" w:rsidRPr="00DE171C" w:rsidRDefault="00574C09" w:rsidP="00574C09">
      <w:pPr>
        <w:spacing w:before="180"/>
        <w:jc w:val="both"/>
        <w:rPr>
          <w:sz w:val="20"/>
          <w:szCs w:val="20"/>
        </w:rPr>
      </w:pPr>
      <w:r w:rsidRPr="00DE171C">
        <w:rPr>
          <w:sz w:val="20"/>
          <w:szCs w:val="20"/>
        </w:rPr>
        <w:t xml:space="preserve">There has been developer interest in the two sites within the SPD area, and planning applications are expected to come forward </w:t>
      </w:r>
      <w:r w:rsidR="00CA7815" w:rsidRPr="00DE171C">
        <w:rPr>
          <w:sz w:val="20"/>
          <w:szCs w:val="20"/>
        </w:rPr>
        <w:t>for</w:t>
      </w:r>
      <w:r w:rsidRPr="00DE171C">
        <w:rPr>
          <w:sz w:val="20"/>
          <w:szCs w:val="20"/>
        </w:rPr>
        <w:t xml:space="preserve"> both sites in the near future.  The aim of the SPD is to supplement the established site allocation policy, with a view to fully </w:t>
      </w:r>
      <w:r w:rsidR="001F1B8B" w:rsidRPr="00DE171C">
        <w:rPr>
          <w:sz w:val="20"/>
          <w:szCs w:val="20"/>
        </w:rPr>
        <w:t>realising</w:t>
      </w:r>
      <w:r w:rsidRPr="00DE171C">
        <w:rPr>
          <w:sz w:val="20"/>
          <w:szCs w:val="20"/>
        </w:rPr>
        <w:t xml:space="preserve"> opportunities, understanding of which has evolved significantly since 2013, </w:t>
      </w:r>
      <w:r w:rsidR="001F1B8B" w:rsidRPr="00DE171C">
        <w:rPr>
          <w:sz w:val="20"/>
          <w:szCs w:val="20"/>
        </w:rPr>
        <w:t>and</w:t>
      </w:r>
      <w:r w:rsidRPr="00DE171C">
        <w:rPr>
          <w:sz w:val="20"/>
          <w:szCs w:val="20"/>
        </w:rPr>
        <w:t xml:space="preserve"> addressing constraints.</w:t>
      </w:r>
    </w:p>
    <w:p w14:paraId="0BD059B4" w14:textId="77777777" w:rsidR="00574C09" w:rsidRPr="00DE171C" w:rsidRDefault="00574C09" w:rsidP="00574C09">
      <w:pPr>
        <w:jc w:val="both"/>
        <w:rPr>
          <w:sz w:val="20"/>
          <w:szCs w:val="20"/>
        </w:rPr>
      </w:pPr>
    </w:p>
    <w:p w14:paraId="530E125A" w14:textId="608E36A4" w:rsidR="00574C09" w:rsidRPr="00DE171C" w:rsidRDefault="00574C09" w:rsidP="00574C09">
      <w:pPr>
        <w:jc w:val="both"/>
        <w:rPr>
          <w:sz w:val="20"/>
          <w:szCs w:val="20"/>
        </w:rPr>
      </w:pPr>
      <w:r w:rsidRPr="00DE171C">
        <w:rPr>
          <w:sz w:val="20"/>
          <w:szCs w:val="20"/>
        </w:rPr>
        <w:t>The net effect is that the SPD is aiming to support a more intensive use of the two sites</w:t>
      </w:r>
      <w:r w:rsidR="00CA7815" w:rsidRPr="00DE171C">
        <w:rPr>
          <w:sz w:val="20"/>
          <w:szCs w:val="20"/>
        </w:rPr>
        <w:t xml:space="preserve"> than anticipated in the Site Allocations Local Plan</w:t>
      </w:r>
      <w:r w:rsidRPr="00DE171C">
        <w:rPr>
          <w:sz w:val="20"/>
          <w:szCs w:val="20"/>
        </w:rPr>
        <w:t>, with new proposed yields of c.1,100 new homes for the Hatcham Works site and c.260 new homes for the Goodwood Road site.</w:t>
      </w:r>
    </w:p>
    <w:p w14:paraId="5DE2D6DE" w14:textId="77777777" w:rsidR="00574C09" w:rsidRPr="00DE171C" w:rsidRDefault="00574C09" w:rsidP="00574C09">
      <w:pPr>
        <w:jc w:val="both"/>
        <w:rPr>
          <w:sz w:val="20"/>
          <w:szCs w:val="20"/>
        </w:rPr>
      </w:pPr>
    </w:p>
    <w:p w14:paraId="066944AC" w14:textId="2AA7B574" w:rsidR="00550A9A" w:rsidRDefault="00574C09" w:rsidP="00574C09">
      <w:pPr>
        <w:jc w:val="both"/>
        <w:rPr>
          <w:sz w:val="20"/>
          <w:szCs w:val="20"/>
        </w:rPr>
      </w:pPr>
      <w:r w:rsidRPr="00DE171C">
        <w:rPr>
          <w:sz w:val="20"/>
          <w:szCs w:val="20"/>
        </w:rPr>
        <w:t xml:space="preserve">The SPD </w:t>
      </w:r>
      <w:r w:rsidR="001F1B8B" w:rsidRPr="00DE171C">
        <w:rPr>
          <w:sz w:val="20"/>
          <w:szCs w:val="20"/>
        </w:rPr>
        <w:t xml:space="preserve">will </w:t>
      </w:r>
      <w:r w:rsidRPr="00DE171C">
        <w:rPr>
          <w:sz w:val="20"/>
          <w:szCs w:val="20"/>
        </w:rPr>
        <w:t>conclude by presenting an illustrative masterplan</w:t>
      </w:r>
      <w:r w:rsidR="001F1B8B" w:rsidRPr="00DE171C">
        <w:rPr>
          <w:sz w:val="20"/>
          <w:szCs w:val="20"/>
        </w:rPr>
        <w:t>, a draft version of which is presented below</w:t>
      </w:r>
      <w:r w:rsidRPr="00DE171C">
        <w:rPr>
          <w:sz w:val="20"/>
          <w:szCs w:val="20"/>
        </w:rPr>
        <w:t xml:space="preserve"> – see Figure 2</w:t>
      </w:r>
      <w:r w:rsidR="00550A9A">
        <w:rPr>
          <w:sz w:val="20"/>
          <w:szCs w:val="20"/>
        </w:rPr>
        <w:t xml:space="preserve"> – with the Draft SPD describing key components of the masterplan as follows:</w:t>
      </w:r>
    </w:p>
    <w:p w14:paraId="2E77A18C" w14:textId="2BF0318A" w:rsidR="00574C09" w:rsidRPr="00DE171C" w:rsidRDefault="00550A9A" w:rsidP="00574C09">
      <w:pPr>
        <w:pStyle w:val="ListParagraph"/>
        <w:numPr>
          <w:ilvl w:val="0"/>
          <w:numId w:val="32"/>
        </w:numPr>
        <w:spacing w:before="120" w:after="120" w:line="260" w:lineRule="exact"/>
        <w:ind w:left="714" w:hanging="357"/>
        <w:contextualSpacing w:val="0"/>
        <w:jc w:val="both"/>
        <w:rPr>
          <w:sz w:val="20"/>
          <w:szCs w:val="20"/>
        </w:rPr>
      </w:pPr>
      <w:r>
        <w:rPr>
          <w:sz w:val="20"/>
          <w:szCs w:val="20"/>
        </w:rPr>
        <w:t>T</w:t>
      </w:r>
      <w:r w:rsidR="00574C09" w:rsidRPr="00DE171C">
        <w:rPr>
          <w:sz w:val="20"/>
          <w:szCs w:val="20"/>
        </w:rPr>
        <w:t xml:space="preserve">wo-sided streets designed to accord with the Mayor’s Healthy Streets Approach, bounded by active ground floor uses and frontages onto the street. </w:t>
      </w:r>
    </w:p>
    <w:p w14:paraId="3E7D3C1F"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New buildings to sensitively reinforce the high street, bridging the current gap across the front of this site. </w:t>
      </w:r>
    </w:p>
    <w:p w14:paraId="657836F1"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Large grocery food store brought to front of the site to improve vitality and viability of New Cross district centre and strengthen the shopping frontage. Also by bringing buildings to the frontage it re-knits the built form and provides activity. </w:t>
      </w:r>
    </w:p>
    <w:p w14:paraId="4FE0B8E8"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Route 1 to continue across the site, with new bridge over the railway tracks and ramps integrated into the streetscape with emphasis on creating high quality, attractive environment for pedestrians and cyclists. Footbridge and surrounding buildings to be configured to enable long views along adjacent streets. </w:t>
      </w:r>
    </w:p>
    <w:p w14:paraId="7B2271B2"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New north south connection made on Hatcham Site. This follows the existing ladder of streets in New Cross.</w:t>
      </w:r>
    </w:p>
    <w:p w14:paraId="7370BC90" w14:textId="5A7574FE"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Opportunities across the site to locate commercial uses, on Route 1 and Goodwood Road. </w:t>
      </w:r>
    </w:p>
    <w:p w14:paraId="46FEC6BD" w14:textId="71F24B8F"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Buildings of height located away from sensitive New Cross Road frontage and low rise neighbouring properties. Height has been placed back from the high street close to the new Ro</w:t>
      </w:r>
      <w:r w:rsidR="00C81916" w:rsidRPr="00DE171C">
        <w:rPr>
          <w:sz w:val="20"/>
          <w:szCs w:val="20"/>
        </w:rPr>
        <w:t>u</w:t>
      </w:r>
      <w:r w:rsidRPr="00DE171C">
        <w:rPr>
          <w:sz w:val="20"/>
          <w:szCs w:val="20"/>
        </w:rPr>
        <w:t xml:space="preserve">te 1 connection as it takes advantage of the topography so the buildings cannot be easily seen behind the frontage buildings on New Cross Road;  </w:t>
      </w:r>
    </w:p>
    <w:p w14:paraId="371B2630"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Scale and mass of buildings shows respect for surrounding context which in many places has a fine grain. </w:t>
      </w:r>
    </w:p>
    <w:p w14:paraId="2794DE00"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Buses to remain within the site with a turning head in the northern part of the Hatcham Works site. </w:t>
      </w:r>
    </w:p>
    <w:p w14:paraId="15156252"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New junction on New Cross Road to be designed to accommodate cycle facilities and pedestrian crossings outside the station. These improvements are required in order to re-balance the street enabling, New Cross to fulfil its role as a district centre and safe pedestrian environment, while also maintaining traffic flow. </w:t>
      </w:r>
    </w:p>
    <w:p w14:paraId="70699FBB" w14:textId="7EE8F1D0"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t xml:space="preserve">Mixed-use development on the Goodwood Road site. New residential development to be provided alongside significant commercial floorspace, serviced at street level from Goodwood Road. Detailed proposals for this site to balance overall quantum of development with the massing constraints imposed by the site, which is bounded to the north and east by existing housing vulnerable to overshadowing. </w:t>
      </w:r>
    </w:p>
    <w:p w14:paraId="1F21AEC3" w14:textId="77777777" w:rsidR="00574C09" w:rsidRPr="00DE171C" w:rsidRDefault="00574C09" w:rsidP="00574C09">
      <w:pPr>
        <w:pStyle w:val="ListParagraph"/>
        <w:numPr>
          <w:ilvl w:val="0"/>
          <w:numId w:val="33"/>
        </w:numPr>
        <w:spacing w:before="120" w:after="120" w:line="260" w:lineRule="exact"/>
        <w:ind w:left="714" w:hanging="357"/>
        <w:contextualSpacing w:val="0"/>
        <w:jc w:val="both"/>
        <w:rPr>
          <w:sz w:val="20"/>
          <w:szCs w:val="20"/>
        </w:rPr>
      </w:pPr>
      <w:r w:rsidRPr="00DE171C">
        <w:rPr>
          <w:sz w:val="20"/>
          <w:szCs w:val="20"/>
        </w:rPr>
        <w:lastRenderedPageBreak/>
        <w:t>Retained retail uses and new development on Goodwood Road to support use of Goodwood Road as extension of the high street.</w:t>
      </w:r>
    </w:p>
    <w:p w14:paraId="6A3A42FB" w14:textId="2FC05518" w:rsidR="00574C09" w:rsidRPr="00DE171C" w:rsidRDefault="00574C09" w:rsidP="00574C09">
      <w:pPr>
        <w:spacing w:before="180"/>
        <w:jc w:val="both"/>
        <w:rPr>
          <w:sz w:val="20"/>
          <w:szCs w:val="20"/>
        </w:rPr>
      </w:pPr>
      <w:r w:rsidRPr="00DE171C">
        <w:rPr>
          <w:sz w:val="20"/>
          <w:szCs w:val="20"/>
        </w:rPr>
        <w:t xml:space="preserve">It is </w:t>
      </w:r>
      <w:r w:rsidR="001F1B8B" w:rsidRPr="00DE171C">
        <w:rPr>
          <w:sz w:val="20"/>
          <w:szCs w:val="20"/>
        </w:rPr>
        <w:t>also</w:t>
      </w:r>
      <w:r w:rsidRPr="00DE171C">
        <w:rPr>
          <w:sz w:val="20"/>
          <w:szCs w:val="20"/>
        </w:rPr>
        <w:t xml:space="preserve"> important to note the proposed approach to height, scale and massing, with the draft SPD explaining that:</w:t>
      </w:r>
    </w:p>
    <w:p w14:paraId="582896B6" w14:textId="77777777" w:rsidR="00574C09" w:rsidRPr="00DE171C" w:rsidRDefault="00574C09" w:rsidP="00574C09">
      <w:pPr>
        <w:spacing w:before="180"/>
        <w:ind w:left="720"/>
        <w:jc w:val="both"/>
        <w:rPr>
          <w:i/>
          <w:sz w:val="20"/>
          <w:szCs w:val="20"/>
        </w:rPr>
      </w:pPr>
      <w:r w:rsidRPr="00DE171C">
        <w:rPr>
          <w:i/>
          <w:sz w:val="20"/>
          <w:szCs w:val="20"/>
        </w:rPr>
        <w:t xml:space="preserve">“Given its location within a Regeneration and Growth Area tall buildings are suitable within the SPD Area (as confirmed in Core Strategy Policy 15).  However tall must be considered in the local context and the prevailing context is primarily between 2-4 storeys occasionally interspersed with buildings which are taller; although those taller elements do not exceed 10 storeys. </w:t>
      </w:r>
    </w:p>
    <w:p w14:paraId="282AA3CD" w14:textId="77777777" w:rsidR="00574C09" w:rsidRPr="00DE171C" w:rsidRDefault="00574C09" w:rsidP="00574C09">
      <w:pPr>
        <w:spacing w:before="180"/>
        <w:ind w:left="720"/>
        <w:jc w:val="both"/>
        <w:rPr>
          <w:i/>
          <w:sz w:val="20"/>
          <w:szCs w:val="20"/>
        </w:rPr>
      </w:pPr>
      <w:r w:rsidRPr="00DE171C">
        <w:rPr>
          <w:i/>
          <w:sz w:val="20"/>
          <w:szCs w:val="20"/>
        </w:rPr>
        <w:t xml:space="preserve">The following methodology was applied to establish a heat map which identifies where taller buildings can be located in the SPD area: </w:t>
      </w:r>
    </w:p>
    <w:p w14:paraId="06DAC798" w14:textId="77777777" w:rsidR="00574C09" w:rsidRPr="00DE171C" w:rsidRDefault="00574C09" w:rsidP="00574C09">
      <w:pPr>
        <w:spacing w:before="180"/>
        <w:ind w:left="720"/>
        <w:jc w:val="both"/>
        <w:rPr>
          <w:i/>
          <w:sz w:val="20"/>
          <w:szCs w:val="20"/>
        </w:rPr>
      </w:pPr>
      <w:r w:rsidRPr="00DE171C">
        <w:rPr>
          <w:i/>
          <w:sz w:val="20"/>
          <w:szCs w:val="20"/>
        </w:rPr>
        <w:t>1.Understand and take into account the topography;</w:t>
      </w:r>
    </w:p>
    <w:p w14:paraId="1227B6B6" w14:textId="079841A0" w:rsidR="00574C09" w:rsidRPr="00DE171C" w:rsidRDefault="00574C09" w:rsidP="00574C09">
      <w:pPr>
        <w:spacing w:before="180"/>
        <w:ind w:left="720"/>
        <w:jc w:val="both"/>
        <w:rPr>
          <w:i/>
          <w:sz w:val="20"/>
          <w:szCs w:val="20"/>
        </w:rPr>
      </w:pPr>
      <w:r w:rsidRPr="00DE171C">
        <w:rPr>
          <w:i/>
          <w:sz w:val="20"/>
          <w:szCs w:val="20"/>
        </w:rPr>
        <w:t xml:space="preserve">2.Identify important views and locations where the heritage asset and its setting could potentially be impacted; </w:t>
      </w:r>
    </w:p>
    <w:p w14:paraId="18992934" w14:textId="77777777" w:rsidR="00574C09" w:rsidRPr="00DE171C" w:rsidRDefault="00574C09" w:rsidP="00574C09">
      <w:pPr>
        <w:spacing w:before="180"/>
        <w:ind w:left="720"/>
        <w:jc w:val="both"/>
        <w:rPr>
          <w:i/>
          <w:sz w:val="20"/>
          <w:szCs w:val="20"/>
        </w:rPr>
      </w:pPr>
      <w:r w:rsidRPr="00DE171C">
        <w:rPr>
          <w:i/>
          <w:sz w:val="20"/>
          <w:szCs w:val="20"/>
        </w:rPr>
        <w:t xml:space="preserve">3.Test height scenarios through 3D modelling; </w:t>
      </w:r>
    </w:p>
    <w:p w14:paraId="46CE7580" w14:textId="77777777" w:rsidR="00574C09" w:rsidRPr="00DE171C" w:rsidRDefault="00574C09" w:rsidP="00574C09">
      <w:pPr>
        <w:spacing w:before="180"/>
        <w:ind w:left="720"/>
        <w:jc w:val="both"/>
        <w:rPr>
          <w:i/>
          <w:sz w:val="20"/>
          <w:szCs w:val="20"/>
        </w:rPr>
      </w:pPr>
      <w:r w:rsidRPr="00DE171C">
        <w:rPr>
          <w:i/>
          <w:sz w:val="20"/>
          <w:szCs w:val="20"/>
        </w:rPr>
        <w:t>4. Identify sensitive relationships with surrounding low rise residential properties</w:t>
      </w:r>
    </w:p>
    <w:p w14:paraId="797E7F85" w14:textId="77777777" w:rsidR="00574C09" w:rsidRPr="00DE171C" w:rsidRDefault="00574C09" w:rsidP="00574C09">
      <w:pPr>
        <w:spacing w:before="180"/>
        <w:ind w:left="720"/>
        <w:jc w:val="both"/>
        <w:rPr>
          <w:i/>
          <w:sz w:val="20"/>
          <w:szCs w:val="20"/>
        </w:rPr>
      </w:pPr>
      <w:r w:rsidRPr="00DE171C">
        <w:rPr>
          <w:i/>
          <w:sz w:val="20"/>
          <w:szCs w:val="20"/>
        </w:rPr>
        <w:t>5. Identify key routes and connections as places which may be suitable to place a taller building</w:t>
      </w:r>
    </w:p>
    <w:p w14:paraId="04EF1139" w14:textId="77777777" w:rsidR="00574C09" w:rsidRPr="00DE171C" w:rsidRDefault="00574C09" w:rsidP="00574C09">
      <w:pPr>
        <w:spacing w:before="180"/>
        <w:ind w:left="720"/>
        <w:jc w:val="both"/>
        <w:rPr>
          <w:i/>
          <w:sz w:val="20"/>
          <w:szCs w:val="20"/>
        </w:rPr>
      </w:pPr>
      <w:r w:rsidRPr="00DE171C">
        <w:rPr>
          <w:i/>
          <w:sz w:val="20"/>
          <w:szCs w:val="20"/>
        </w:rPr>
        <w:t xml:space="preserve">… Through testing the location and height of tall buildings in the SPD Area height ranges and locations where a tall building have been established and are shown on the heat maps. </w:t>
      </w:r>
    </w:p>
    <w:p w14:paraId="62746D94" w14:textId="77777777" w:rsidR="00574C09" w:rsidRPr="00DE171C" w:rsidRDefault="00574C09" w:rsidP="00574C09">
      <w:pPr>
        <w:spacing w:before="180"/>
        <w:ind w:left="720"/>
        <w:jc w:val="both"/>
        <w:rPr>
          <w:i/>
          <w:sz w:val="20"/>
          <w:szCs w:val="20"/>
        </w:rPr>
      </w:pPr>
      <w:r w:rsidRPr="00DE171C">
        <w:rPr>
          <w:i/>
          <w:sz w:val="20"/>
          <w:szCs w:val="20"/>
        </w:rPr>
        <w:t xml:space="preserve">Massing is another important consideration as blocks which are too large can also adversely affect light penetration to spaces around buildings.  As such if they are located to the south of public spaces or private amenity areas they should be reduced in height that will ensure sufficient sun and day light exposure into open areas. </w:t>
      </w:r>
    </w:p>
    <w:p w14:paraId="279CB79C" w14:textId="77777777" w:rsidR="00574C09" w:rsidRPr="00DE171C" w:rsidRDefault="00574C09" w:rsidP="00574C09">
      <w:pPr>
        <w:spacing w:before="180"/>
        <w:ind w:left="720"/>
        <w:jc w:val="both"/>
        <w:rPr>
          <w:i/>
          <w:sz w:val="20"/>
          <w:szCs w:val="20"/>
        </w:rPr>
      </w:pPr>
      <w:r w:rsidRPr="00DE171C">
        <w:rPr>
          <w:i/>
          <w:sz w:val="20"/>
          <w:szCs w:val="20"/>
        </w:rPr>
        <w:t>The key urban design principles for any schemes coming forward in the SPD are in relation to height, scale and massing are as follows:</w:t>
      </w:r>
    </w:p>
    <w:p w14:paraId="423CA447" w14:textId="771A523E" w:rsidR="00574C09" w:rsidRPr="00DE171C" w:rsidRDefault="00574C09" w:rsidP="00574C09">
      <w:pPr>
        <w:spacing w:before="180"/>
        <w:ind w:left="720"/>
        <w:jc w:val="both"/>
        <w:rPr>
          <w:i/>
          <w:sz w:val="20"/>
          <w:szCs w:val="20"/>
        </w:rPr>
      </w:pPr>
      <w:r w:rsidRPr="00DE171C">
        <w:rPr>
          <w:i/>
          <w:sz w:val="20"/>
          <w:szCs w:val="20"/>
        </w:rPr>
        <w:t>• The scale and massing of buildings must respond to positively to the character of the adjacent conservation areas, existing residential environments and New Cross Road;</w:t>
      </w:r>
    </w:p>
    <w:p w14:paraId="2B771202" w14:textId="47D1FA6D" w:rsidR="00574C09" w:rsidRPr="00DE171C" w:rsidRDefault="00574C09" w:rsidP="00574C09">
      <w:pPr>
        <w:spacing w:before="180"/>
        <w:ind w:left="720"/>
        <w:jc w:val="both"/>
        <w:rPr>
          <w:i/>
          <w:sz w:val="20"/>
          <w:szCs w:val="20"/>
        </w:rPr>
      </w:pPr>
      <w:r w:rsidRPr="00DE171C">
        <w:rPr>
          <w:i/>
          <w:sz w:val="20"/>
          <w:szCs w:val="20"/>
        </w:rPr>
        <w:t>• Tall buildings must be sited in the locations identified as suitable on the heat map;</w:t>
      </w:r>
    </w:p>
    <w:p w14:paraId="11FAA4E1" w14:textId="77777777" w:rsidR="00574C09" w:rsidRPr="00DE171C" w:rsidRDefault="00574C09" w:rsidP="00574C09">
      <w:pPr>
        <w:spacing w:before="180"/>
        <w:ind w:left="720"/>
        <w:jc w:val="both"/>
        <w:rPr>
          <w:i/>
          <w:sz w:val="20"/>
          <w:szCs w:val="20"/>
        </w:rPr>
      </w:pPr>
      <w:r w:rsidRPr="00DE171C">
        <w:rPr>
          <w:i/>
          <w:sz w:val="20"/>
          <w:szCs w:val="20"/>
        </w:rPr>
        <w:t>• Tall or large buildings should not cause harm to existing residential environments and their amenity;</w:t>
      </w:r>
    </w:p>
    <w:p w14:paraId="57941085" w14:textId="77777777" w:rsidR="00574C09" w:rsidRPr="00DE171C" w:rsidRDefault="00574C09" w:rsidP="00574C09">
      <w:pPr>
        <w:spacing w:before="180"/>
        <w:ind w:left="720"/>
        <w:jc w:val="both"/>
        <w:rPr>
          <w:i/>
          <w:sz w:val="20"/>
          <w:szCs w:val="20"/>
        </w:rPr>
      </w:pPr>
      <w:r w:rsidRPr="00DE171C">
        <w:rPr>
          <w:i/>
          <w:sz w:val="20"/>
          <w:szCs w:val="20"/>
        </w:rPr>
        <w:t>• Tall buildings must be positioned in locations which are logical and legible and on key routes;</w:t>
      </w:r>
    </w:p>
    <w:p w14:paraId="664AB4C7" w14:textId="77777777" w:rsidR="00574C09" w:rsidRPr="00DE171C" w:rsidRDefault="00574C09" w:rsidP="00574C09">
      <w:pPr>
        <w:spacing w:before="180"/>
        <w:ind w:left="720"/>
        <w:jc w:val="both"/>
        <w:rPr>
          <w:i/>
          <w:sz w:val="20"/>
          <w:szCs w:val="20"/>
        </w:rPr>
      </w:pPr>
      <w:r w:rsidRPr="00DE171C">
        <w:rPr>
          <w:i/>
          <w:sz w:val="20"/>
          <w:szCs w:val="20"/>
        </w:rPr>
        <w:t>• Tall buildings must be informed by an assessment of views at local and cross London levels, as identified in Lewisham’s Local Plan and the London View Management Framework…;</w:t>
      </w:r>
    </w:p>
    <w:p w14:paraId="5B0616CD" w14:textId="77777777" w:rsidR="00574C09" w:rsidRPr="00DE171C" w:rsidRDefault="00574C09" w:rsidP="00574C09">
      <w:pPr>
        <w:spacing w:before="180"/>
        <w:ind w:left="720"/>
        <w:jc w:val="both"/>
        <w:rPr>
          <w:i/>
          <w:sz w:val="20"/>
          <w:szCs w:val="20"/>
        </w:rPr>
      </w:pPr>
      <w:r w:rsidRPr="00DE171C">
        <w:rPr>
          <w:i/>
          <w:sz w:val="20"/>
          <w:szCs w:val="20"/>
        </w:rPr>
        <w:t xml:space="preserve">• The scale and massing of buildings must provide an appropriate transition in scale between taller elements and the areas surrounding heritage assets which are typically 2 to 4 storeys </w:t>
      </w:r>
    </w:p>
    <w:p w14:paraId="13A58E84" w14:textId="77777777" w:rsidR="00574C09" w:rsidRPr="00DE171C" w:rsidRDefault="00574C09" w:rsidP="00574C09">
      <w:pPr>
        <w:spacing w:before="180"/>
        <w:ind w:left="720"/>
        <w:jc w:val="both"/>
        <w:rPr>
          <w:i/>
          <w:sz w:val="20"/>
          <w:szCs w:val="20"/>
        </w:rPr>
      </w:pPr>
      <w:r w:rsidRPr="00DE171C">
        <w:rPr>
          <w:i/>
          <w:sz w:val="20"/>
          <w:szCs w:val="20"/>
        </w:rPr>
        <w:t>• Buildings of height must be positioned so that there is daylight and sunlight penetration to open spaces and public realm so that they are fit for purpose and are useable, pleasant spaces for long periods during the day. Siting tall buildings to south of open spaces where they are in shadow for long periods of day should be avoided.</w:t>
      </w:r>
    </w:p>
    <w:p w14:paraId="515921D6" w14:textId="77777777" w:rsidR="00574C09" w:rsidRPr="00DE171C" w:rsidRDefault="00574C09" w:rsidP="00574C09">
      <w:pPr>
        <w:spacing w:before="180"/>
        <w:ind w:left="720"/>
        <w:jc w:val="both"/>
        <w:rPr>
          <w:i/>
          <w:sz w:val="20"/>
          <w:szCs w:val="20"/>
        </w:rPr>
      </w:pPr>
      <w:r w:rsidRPr="00DE171C">
        <w:rPr>
          <w:i/>
          <w:sz w:val="20"/>
          <w:szCs w:val="20"/>
        </w:rPr>
        <w:t xml:space="preserve">• In terms of the building itself a tall building must comprise… Lower floors: active frontages with a mixture of uses and clear entrances; Middle floors: articulated façade, balconies/winter gardens, vertical expression, façade proportion and modelling; Upper floors: opportunities for varying the building line with setback/frame </w:t>
      </w:r>
    </w:p>
    <w:p w14:paraId="6373FE4F" w14:textId="77777777" w:rsidR="00574C09" w:rsidRPr="00DE171C" w:rsidRDefault="00574C09" w:rsidP="00574C09">
      <w:pPr>
        <w:spacing w:before="180"/>
        <w:ind w:left="720"/>
        <w:jc w:val="both"/>
        <w:rPr>
          <w:i/>
          <w:sz w:val="20"/>
          <w:szCs w:val="20"/>
        </w:rPr>
      </w:pPr>
      <w:r w:rsidRPr="00DE171C">
        <w:rPr>
          <w:i/>
          <w:sz w:val="20"/>
          <w:szCs w:val="20"/>
        </w:rPr>
        <w:t>• Architecture of buildings must be varied to provide interest but there should be some common language between buildings to create a cohesive development.”</w:t>
      </w:r>
    </w:p>
    <w:p w14:paraId="73F0084B" w14:textId="008D3C2F" w:rsidR="00574C09" w:rsidRPr="00DE171C" w:rsidRDefault="00574C09" w:rsidP="001F1B8B">
      <w:pPr>
        <w:spacing w:before="180" w:after="120"/>
        <w:jc w:val="both"/>
        <w:rPr>
          <w:i/>
          <w:sz w:val="20"/>
          <w:szCs w:val="20"/>
        </w:rPr>
      </w:pPr>
      <w:r w:rsidRPr="00DE171C">
        <w:rPr>
          <w:i/>
          <w:sz w:val="20"/>
          <w:szCs w:val="20"/>
        </w:rPr>
        <w:lastRenderedPageBreak/>
        <w:t>Figure 2: The draft illustrative Masterplan</w:t>
      </w:r>
    </w:p>
    <w:p w14:paraId="40670963" w14:textId="7163D24A" w:rsidR="00574C09" w:rsidRPr="00DE171C" w:rsidRDefault="00574C09" w:rsidP="00574C09">
      <w:pPr>
        <w:spacing w:line="240" w:lineRule="auto"/>
        <w:rPr>
          <w:b/>
          <w:sz w:val="20"/>
          <w:szCs w:val="20"/>
        </w:rPr>
      </w:pPr>
      <w:r w:rsidRPr="00DE171C">
        <w:rPr>
          <w:b/>
          <w:noProof/>
          <w:sz w:val="20"/>
          <w:szCs w:val="20"/>
          <w:lang w:eastAsia="en-GB"/>
        </w:rPr>
        <w:drawing>
          <wp:inline distT="0" distB="0" distL="0" distR="0" wp14:anchorId="2BD44C08" wp14:editId="1FB5EE26">
            <wp:extent cx="5952964" cy="681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7153" cy="6824699"/>
                    </a:xfrm>
                    <a:prstGeom prst="rect">
                      <a:avLst/>
                    </a:prstGeom>
                    <a:noFill/>
                    <a:ln>
                      <a:noFill/>
                    </a:ln>
                  </pic:spPr>
                </pic:pic>
              </a:graphicData>
            </a:graphic>
          </wp:inline>
        </w:drawing>
      </w:r>
    </w:p>
    <w:p w14:paraId="4BDFFC39" w14:textId="77777777" w:rsidR="00574C09" w:rsidRPr="00DE171C" w:rsidRDefault="00574C09" w:rsidP="00574C09">
      <w:pPr>
        <w:spacing w:line="240" w:lineRule="auto"/>
        <w:rPr>
          <w:b/>
          <w:sz w:val="20"/>
          <w:szCs w:val="20"/>
        </w:rPr>
      </w:pPr>
      <w:r w:rsidRPr="00DE171C">
        <w:rPr>
          <w:b/>
          <w:sz w:val="20"/>
          <w:szCs w:val="20"/>
        </w:rPr>
        <w:br w:type="page"/>
      </w:r>
    </w:p>
    <w:p w14:paraId="6ADBE7B4" w14:textId="77777777" w:rsidR="00574C09" w:rsidRPr="00DE171C" w:rsidRDefault="00574C09" w:rsidP="00574C09">
      <w:pPr>
        <w:jc w:val="both"/>
        <w:rPr>
          <w:b/>
          <w:sz w:val="20"/>
          <w:szCs w:val="20"/>
        </w:rPr>
      </w:pPr>
      <w:r w:rsidRPr="00DE171C">
        <w:rPr>
          <w:b/>
          <w:sz w:val="20"/>
          <w:szCs w:val="20"/>
        </w:rPr>
        <w:lastRenderedPageBreak/>
        <w:t>Relevant environmental issues locally</w:t>
      </w:r>
    </w:p>
    <w:p w14:paraId="1154CBCB" w14:textId="77777777" w:rsidR="00574C09" w:rsidRPr="00DE171C" w:rsidRDefault="00574C09" w:rsidP="00574C09">
      <w:pPr>
        <w:jc w:val="both"/>
        <w:rPr>
          <w:sz w:val="20"/>
          <w:szCs w:val="20"/>
          <w:u w:val="single"/>
        </w:rPr>
      </w:pPr>
    </w:p>
    <w:p w14:paraId="7D1AF7B2" w14:textId="66F7C90D" w:rsidR="00574C09" w:rsidRPr="00DE171C" w:rsidRDefault="00574C09" w:rsidP="00574C09">
      <w:pPr>
        <w:jc w:val="both"/>
        <w:rPr>
          <w:sz w:val="20"/>
          <w:szCs w:val="20"/>
        </w:rPr>
      </w:pPr>
      <w:r w:rsidRPr="00DE171C">
        <w:rPr>
          <w:sz w:val="20"/>
          <w:szCs w:val="20"/>
        </w:rPr>
        <w:t xml:space="preserve">Heritage is a key environmental constraint locally, with much of the built history of New Cross and Deptford protected by various heritage designations, including designated conservation areas and nationally listed buildings.  Although there are no nationally listed (or locally listed) buildings within the SPD area there remains the potential to impact </w:t>
      </w:r>
      <w:r w:rsidR="001F1B8B" w:rsidRPr="00DE171C">
        <w:rPr>
          <w:sz w:val="20"/>
          <w:szCs w:val="20"/>
        </w:rPr>
        <w:t>on</w:t>
      </w:r>
      <w:r w:rsidRPr="00DE171C">
        <w:rPr>
          <w:sz w:val="20"/>
          <w:szCs w:val="20"/>
        </w:rPr>
        <w:t xml:space="preserve"> the setting </w:t>
      </w:r>
      <w:r w:rsidR="001F1B8B" w:rsidRPr="00DE171C">
        <w:rPr>
          <w:sz w:val="20"/>
          <w:szCs w:val="20"/>
        </w:rPr>
        <w:t xml:space="preserve">of </w:t>
      </w:r>
      <w:r w:rsidRPr="00DE171C">
        <w:rPr>
          <w:sz w:val="20"/>
          <w:szCs w:val="20"/>
        </w:rPr>
        <w:t>certain listed buildings.  The Hatcham Conservation Area (CA) intersects the southern-most part of the SPD area, whilst the Telegraph Hill CA is adjacent to the south and the Deptford Town Hall adjacent to the southeast.</w:t>
      </w:r>
    </w:p>
    <w:p w14:paraId="0E9D5669" w14:textId="77777777" w:rsidR="00574C09" w:rsidRPr="00DE171C" w:rsidRDefault="00574C09" w:rsidP="00574C09">
      <w:pPr>
        <w:jc w:val="both"/>
        <w:rPr>
          <w:sz w:val="20"/>
          <w:szCs w:val="20"/>
        </w:rPr>
      </w:pPr>
    </w:p>
    <w:p w14:paraId="4508BF9A" w14:textId="77777777" w:rsidR="00574C09" w:rsidRPr="00DE171C" w:rsidRDefault="00574C09" w:rsidP="00574C09">
      <w:pPr>
        <w:jc w:val="both"/>
        <w:rPr>
          <w:sz w:val="20"/>
          <w:szCs w:val="20"/>
        </w:rPr>
      </w:pPr>
      <w:r w:rsidRPr="00DE171C">
        <w:rPr>
          <w:sz w:val="20"/>
          <w:szCs w:val="20"/>
        </w:rPr>
        <w:t>Other key environmental issues relate to transport / movement and use of the public realm, along with associated CO</w:t>
      </w:r>
      <w:r w:rsidRPr="00DE171C">
        <w:rPr>
          <w:sz w:val="20"/>
          <w:szCs w:val="20"/>
          <w:vertAlign w:val="subscript"/>
        </w:rPr>
        <w:t>2</w:t>
      </w:r>
      <w:r w:rsidRPr="00DE171C">
        <w:rPr>
          <w:sz w:val="20"/>
          <w:szCs w:val="20"/>
        </w:rPr>
        <w:t xml:space="preserve"> emissions, air pollution and health implications.  The following is a summary:</w:t>
      </w:r>
    </w:p>
    <w:p w14:paraId="78778778" w14:textId="74BBD8F7" w:rsidR="00574C09" w:rsidRPr="00DE171C" w:rsidRDefault="00574C09" w:rsidP="00574C09">
      <w:pPr>
        <w:pStyle w:val="ListParagraph"/>
        <w:numPr>
          <w:ilvl w:val="0"/>
          <w:numId w:val="34"/>
        </w:numPr>
        <w:spacing w:before="120" w:after="120" w:line="260" w:lineRule="exact"/>
        <w:ind w:left="714" w:hanging="357"/>
        <w:contextualSpacing w:val="0"/>
        <w:jc w:val="both"/>
        <w:rPr>
          <w:sz w:val="20"/>
          <w:szCs w:val="20"/>
        </w:rPr>
      </w:pPr>
      <w:r w:rsidRPr="00DE171C">
        <w:rPr>
          <w:sz w:val="20"/>
          <w:szCs w:val="20"/>
        </w:rPr>
        <w:t xml:space="preserve">Public transport – this is one of the most accessible locations within the Borough; however, the existing station building is not large enough for the current volume of passengers; and the narrow footway outside the station is overcrowded, particularly around bus stops. </w:t>
      </w:r>
    </w:p>
    <w:p w14:paraId="5642B4ED" w14:textId="4C30C5E7" w:rsidR="001F1B8B" w:rsidRPr="00DE171C" w:rsidRDefault="001F1B8B" w:rsidP="001F1B8B">
      <w:pPr>
        <w:pStyle w:val="ListParagraph"/>
        <w:numPr>
          <w:ilvl w:val="0"/>
          <w:numId w:val="34"/>
        </w:numPr>
        <w:spacing w:before="120" w:after="120" w:line="260" w:lineRule="exact"/>
        <w:ind w:left="714" w:hanging="357"/>
        <w:contextualSpacing w:val="0"/>
        <w:jc w:val="both"/>
        <w:rPr>
          <w:sz w:val="20"/>
          <w:szCs w:val="20"/>
        </w:rPr>
      </w:pPr>
      <w:r w:rsidRPr="00DE171C">
        <w:rPr>
          <w:sz w:val="20"/>
          <w:szCs w:val="20"/>
        </w:rPr>
        <w:t>Pedestrian movements - the level changes between the Hatcham Works site and surrounding streets have resulted in poor connectivity.  Where connections have been made</w:t>
      </w:r>
      <w:r w:rsidR="00AA2A72">
        <w:rPr>
          <w:sz w:val="20"/>
          <w:szCs w:val="20"/>
        </w:rPr>
        <w:t>,</w:t>
      </w:r>
      <w:r w:rsidRPr="00DE171C">
        <w:rPr>
          <w:sz w:val="20"/>
          <w:szCs w:val="20"/>
        </w:rPr>
        <w:t xml:space="preserve"> such as the ramp between Hatcham Park </w:t>
      </w:r>
      <w:r w:rsidR="00442E3A" w:rsidRPr="00DE171C">
        <w:rPr>
          <w:sz w:val="20"/>
          <w:szCs w:val="20"/>
        </w:rPr>
        <w:t>R</w:t>
      </w:r>
      <w:r w:rsidRPr="00DE171C">
        <w:rPr>
          <w:sz w:val="20"/>
          <w:szCs w:val="20"/>
        </w:rPr>
        <w:t xml:space="preserve">oad and the Hatcham Works site, these are of poor quality. </w:t>
      </w:r>
    </w:p>
    <w:p w14:paraId="5BACBCE7" w14:textId="2DDE5F25" w:rsidR="001F1B8B" w:rsidRPr="00DE171C" w:rsidRDefault="001F1B8B" w:rsidP="001F1B8B">
      <w:pPr>
        <w:pStyle w:val="ListParagraph"/>
        <w:numPr>
          <w:ilvl w:val="0"/>
          <w:numId w:val="34"/>
        </w:numPr>
        <w:spacing w:before="120" w:after="120" w:line="260" w:lineRule="exact"/>
        <w:ind w:left="714" w:hanging="357"/>
        <w:contextualSpacing w:val="0"/>
        <w:jc w:val="both"/>
        <w:rPr>
          <w:sz w:val="20"/>
          <w:szCs w:val="20"/>
        </w:rPr>
      </w:pPr>
      <w:r w:rsidRPr="00DE171C">
        <w:rPr>
          <w:sz w:val="20"/>
          <w:szCs w:val="20"/>
        </w:rPr>
        <w:t>Cycling –</w:t>
      </w:r>
      <w:r w:rsidR="00442E3A" w:rsidRPr="00DE171C">
        <w:rPr>
          <w:sz w:val="20"/>
          <w:szCs w:val="20"/>
        </w:rPr>
        <w:t xml:space="preserve"> </w:t>
      </w:r>
      <w:r w:rsidRPr="00DE171C">
        <w:rPr>
          <w:sz w:val="20"/>
          <w:szCs w:val="20"/>
        </w:rPr>
        <w:t xml:space="preserve">a lack of </w:t>
      </w:r>
      <w:r w:rsidR="00AA2A72">
        <w:rPr>
          <w:sz w:val="20"/>
          <w:szCs w:val="20"/>
        </w:rPr>
        <w:t>cycle infrastructure</w:t>
      </w:r>
      <w:r w:rsidRPr="00DE171C">
        <w:rPr>
          <w:sz w:val="20"/>
          <w:szCs w:val="20"/>
        </w:rPr>
        <w:t xml:space="preserve"> causes issues outside the station as cyclists use the footway. </w:t>
      </w:r>
    </w:p>
    <w:p w14:paraId="70F32D6A" w14:textId="46F4CEA8" w:rsidR="001F1B8B" w:rsidRPr="00DE171C" w:rsidRDefault="001F1B8B" w:rsidP="001F1B8B">
      <w:pPr>
        <w:pStyle w:val="ListParagraph"/>
        <w:numPr>
          <w:ilvl w:val="0"/>
          <w:numId w:val="34"/>
        </w:numPr>
        <w:spacing w:before="120" w:after="120" w:line="260" w:lineRule="exact"/>
        <w:ind w:left="714" w:hanging="357"/>
        <w:contextualSpacing w:val="0"/>
        <w:jc w:val="both"/>
        <w:rPr>
          <w:sz w:val="20"/>
          <w:szCs w:val="20"/>
        </w:rPr>
      </w:pPr>
      <w:r w:rsidRPr="00DE171C">
        <w:rPr>
          <w:sz w:val="20"/>
          <w:szCs w:val="20"/>
        </w:rPr>
        <w:t xml:space="preserve">Traffic - the existing station at New Cross Gate is the busiest in the area and becomes congested. </w:t>
      </w:r>
    </w:p>
    <w:p w14:paraId="1C71CF03" w14:textId="4C2235B8" w:rsidR="00574C09" w:rsidRPr="00DE171C" w:rsidRDefault="00574C09" w:rsidP="00514A0E">
      <w:pPr>
        <w:pStyle w:val="ListParagraph"/>
        <w:numPr>
          <w:ilvl w:val="0"/>
          <w:numId w:val="34"/>
        </w:numPr>
        <w:spacing w:before="120" w:after="120" w:line="260" w:lineRule="exact"/>
        <w:ind w:left="714" w:hanging="357"/>
        <w:contextualSpacing w:val="0"/>
        <w:jc w:val="both"/>
        <w:rPr>
          <w:sz w:val="20"/>
          <w:szCs w:val="20"/>
        </w:rPr>
      </w:pPr>
      <w:r w:rsidRPr="00DE171C">
        <w:rPr>
          <w:sz w:val="20"/>
          <w:szCs w:val="20"/>
        </w:rPr>
        <w:t>Urban realm - the New Cross Road frontage to the south of the SPD area forms a fragmented frontage to New Cross Road, which is out of character with its town centre location</w:t>
      </w:r>
      <w:r w:rsidR="001F1B8B" w:rsidRPr="00DE171C">
        <w:rPr>
          <w:sz w:val="20"/>
          <w:szCs w:val="20"/>
        </w:rPr>
        <w:t>, and t</w:t>
      </w:r>
      <w:r w:rsidRPr="00DE171C">
        <w:rPr>
          <w:sz w:val="20"/>
          <w:szCs w:val="20"/>
        </w:rPr>
        <w:t>here is a lack of active uses on the high stree</w:t>
      </w:r>
      <w:r w:rsidR="001F1B8B" w:rsidRPr="00DE171C">
        <w:rPr>
          <w:sz w:val="20"/>
          <w:szCs w:val="20"/>
        </w:rPr>
        <w:t>t.  T</w:t>
      </w:r>
      <w:r w:rsidRPr="00DE171C">
        <w:rPr>
          <w:sz w:val="20"/>
          <w:szCs w:val="20"/>
        </w:rPr>
        <w:t>he public realm across the front of the SPD area is traffic dominated and of poor quality</w:t>
      </w:r>
      <w:r w:rsidR="001F1B8B" w:rsidRPr="00DE171C">
        <w:rPr>
          <w:sz w:val="20"/>
          <w:szCs w:val="20"/>
        </w:rPr>
        <w:t xml:space="preserve">; the supermarket has a large car park that is underused, and creates a hostile environment for pedestrians. </w:t>
      </w:r>
    </w:p>
    <w:p w14:paraId="6059C190" w14:textId="77777777" w:rsidR="00574C09" w:rsidRPr="00DE171C" w:rsidRDefault="00574C09" w:rsidP="00574C09">
      <w:pPr>
        <w:spacing w:before="180"/>
        <w:jc w:val="both"/>
        <w:rPr>
          <w:sz w:val="20"/>
          <w:szCs w:val="20"/>
        </w:rPr>
      </w:pPr>
      <w:r w:rsidRPr="00DE171C">
        <w:rPr>
          <w:sz w:val="20"/>
          <w:szCs w:val="20"/>
        </w:rPr>
        <w:t>There is the potential to address a number of these issues through the SPD, notably:</w:t>
      </w:r>
    </w:p>
    <w:p w14:paraId="6E63A72C" w14:textId="77777777" w:rsidR="00574C09" w:rsidRPr="00DE171C" w:rsidRDefault="00574C09" w:rsidP="00574C09">
      <w:pPr>
        <w:pStyle w:val="ListParagraph"/>
        <w:numPr>
          <w:ilvl w:val="0"/>
          <w:numId w:val="35"/>
        </w:numPr>
        <w:spacing w:before="120" w:after="120" w:line="260" w:lineRule="exact"/>
        <w:ind w:left="714" w:hanging="357"/>
        <w:contextualSpacing w:val="0"/>
        <w:jc w:val="both"/>
        <w:rPr>
          <w:sz w:val="20"/>
          <w:szCs w:val="20"/>
        </w:rPr>
      </w:pPr>
      <w:r w:rsidRPr="00DE171C">
        <w:rPr>
          <w:sz w:val="20"/>
          <w:szCs w:val="20"/>
        </w:rPr>
        <w:t xml:space="preserve">Joining disconnected sections of the high street would increase activity, creating more space for businesses and improving the street environment for pedestrians. </w:t>
      </w:r>
    </w:p>
    <w:p w14:paraId="0011387A" w14:textId="77777777" w:rsidR="00574C09" w:rsidRPr="00DE171C" w:rsidRDefault="00574C09" w:rsidP="00574C09">
      <w:pPr>
        <w:pStyle w:val="ListParagraph"/>
        <w:numPr>
          <w:ilvl w:val="0"/>
          <w:numId w:val="35"/>
        </w:numPr>
        <w:spacing w:before="120" w:after="120" w:line="260" w:lineRule="exact"/>
        <w:ind w:left="714" w:hanging="357"/>
        <w:contextualSpacing w:val="0"/>
        <w:jc w:val="both"/>
        <w:rPr>
          <w:sz w:val="20"/>
          <w:szCs w:val="20"/>
        </w:rPr>
      </w:pPr>
      <w:r w:rsidRPr="00DE171C">
        <w:rPr>
          <w:sz w:val="20"/>
          <w:szCs w:val="20"/>
        </w:rPr>
        <w:t>A development on both sites offers the opportunity to complete Bus Route 1 by connecting into existing streets at Hatcham Park Road and to Goodwood Road and Batavia Road via a footbridge and routes across both sites.</w:t>
      </w:r>
    </w:p>
    <w:p w14:paraId="2FB04C9B" w14:textId="77777777" w:rsidR="00574C09" w:rsidRPr="00DE171C" w:rsidRDefault="00574C09" w:rsidP="00574C09">
      <w:pPr>
        <w:pStyle w:val="ListParagraph"/>
        <w:numPr>
          <w:ilvl w:val="0"/>
          <w:numId w:val="35"/>
        </w:numPr>
        <w:spacing w:before="120" w:after="120" w:line="260" w:lineRule="exact"/>
        <w:ind w:left="714" w:hanging="357"/>
        <w:contextualSpacing w:val="0"/>
        <w:jc w:val="both"/>
        <w:rPr>
          <w:sz w:val="20"/>
          <w:szCs w:val="20"/>
        </w:rPr>
      </w:pPr>
      <w:r w:rsidRPr="00DE171C">
        <w:rPr>
          <w:sz w:val="20"/>
          <w:szCs w:val="20"/>
        </w:rPr>
        <w:t xml:space="preserve">New routes across the Hatcham Work site for cyclists, wheelchair users and prams would establish a street level connection to neighbourhoods that lie north west of the site. </w:t>
      </w:r>
    </w:p>
    <w:p w14:paraId="19779733" w14:textId="77777777" w:rsidR="00574C09" w:rsidRPr="00DE171C" w:rsidRDefault="00574C09" w:rsidP="00574C09">
      <w:pPr>
        <w:pStyle w:val="ListParagraph"/>
        <w:numPr>
          <w:ilvl w:val="0"/>
          <w:numId w:val="35"/>
        </w:numPr>
        <w:spacing w:before="120" w:after="120" w:line="260" w:lineRule="exact"/>
        <w:ind w:left="714" w:hanging="357"/>
        <w:contextualSpacing w:val="0"/>
        <w:jc w:val="both"/>
        <w:rPr>
          <w:sz w:val="20"/>
          <w:szCs w:val="20"/>
        </w:rPr>
      </w:pPr>
      <w:r w:rsidRPr="00DE171C">
        <w:rPr>
          <w:sz w:val="20"/>
          <w:szCs w:val="20"/>
        </w:rPr>
        <w:t>The Hatcham works site is long and narrow and provides the opportunity to create a new north south route.</w:t>
      </w:r>
    </w:p>
    <w:p w14:paraId="1BF04C2E" w14:textId="74560B66" w:rsidR="00574C09" w:rsidRPr="00DE171C" w:rsidRDefault="00574C09" w:rsidP="00574C09">
      <w:pPr>
        <w:jc w:val="both"/>
        <w:rPr>
          <w:sz w:val="20"/>
          <w:szCs w:val="20"/>
        </w:rPr>
      </w:pPr>
      <w:r w:rsidRPr="00DE171C">
        <w:rPr>
          <w:sz w:val="20"/>
          <w:szCs w:val="20"/>
        </w:rPr>
        <w:t xml:space="preserve">Finally, there is a need to consider the opportunity associated with the potential Bakerloo Line Extension.  TfL </w:t>
      </w:r>
      <w:r w:rsidR="00074364" w:rsidRPr="00DE171C">
        <w:rPr>
          <w:sz w:val="20"/>
          <w:szCs w:val="20"/>
        </w:rPr>
        <w:t>has</w:t>
      </w:r>
      <w:r w:rsidRPr="00DE171C">
        <w:rPr>
          <w:sz w:val="20"/>
          <w:szCs w:val="20"/>
        </w:rPr>
        <w:t xml:space="preserve"> chosen the Hatcham Works site as </w:t>
      </w:r>
      <w:r w:rsidR="00074364" w:rsidRPr="00DE171C">
        <w:rPr>
          <w:sz w:val="20"/>
          <w:szCs w:val="20"/>
        </w:rPr>
        <w:t>the preferred location</w:t>
      </w:r>
      <w:r w:rsidRPr="00DE171C">
        <w:rPr>
          <w:sz w:val="20"/>
          <w:szCs w:val="20"/>
        </w:rPr>
        <w:t xml:space="preserve"> for a new station and construction site, hence applications for the site would need to plan proactively for the BLE and respond to the timescale / programme of the BLE.</w:t>
      </w:r>
      <w:r w:rsidR="00074364" w:rsidRPr="00DE171C">
        <w:rPr>
          <w:sz w:val="20"/>
          <w:szCs w:val="20"/>
        </w:rPr>
        <w:t xml:space="preserve">  The SPD aims to facilitate this process.</w:t>
      </w:r>
    </w:p>
    <w:p w14:paraId="6CA75394" w14:textId="77777777" w:rsidR="00574C09" w:rsidRPr="00DE171C" w:rsidRDefault="00574C09" w:rsidP="00574C09">
      <w:pPr>
        <w:jc w:val="both"/>
        <w:rPr>
          <w:sz w:val="20"/>
          <w:szCs w:val="20"/>
          <w:u w:val="single"/>
        </w:rPr>
      </w:pPr>
    </w:p>
    <w:p w14:paraId="73B346D2" w14:textId="77777777" w:rsidR="00574C09" w:rsidRPr="00DE171C" w:rsidRDefault="00574C09" w:rsidP="00574C09">
      <w:pPr>
        <w:jc w:val="both"/>
        <w:rPr>
          <w:b/>
          <w:sz w:val="20"/>
          <w:szCs w:val="20"/>
        </w:rPr>
      </w:pPr>
      <w:r w:rsidRPr="00DE171C">
        <w:rPr>
          <w:b/>
          <w:sz w:val="20"/>
          <w:szCs w:val="20"/>
        </w:rPr>
        <w:t xml:space="preserve">Screening analysis </w:t>
      </w:r>
      <w:r w:rsidRPr="00DE171C">
        <w:rPr>
          <w:sz w:val="20"/>
          <w:szCs w:val="20"/>
        </w:rPr>
        <w:t>(N.B. Further information is presented in</w:t>
      </w:r>
      <w:r w:rsidRPr="00DE171C">
        <w:rPr>
          <w:b/>
          <w:sz w:val="20"/>
          <w:szCs w:val="20"/>
        </w:rPr>
        <w:t xml:space="preserve"> Appendix 1</w:t>
      </w:r>
      <w:r w:rsidRPr="00DE171C">
        <w:rPr>
          <w:sz w:val="20"/>
          <w:szCs w:val="20"/>
        </w:rPr>
        <w:t>)</w:t>
      </w:r>
    </w:p>
    <w:p w14:paraId="3FB0E55E" w14:textId="77777777" w:rsidR="00574C09" w:rsidRPr="00DE171C" w:rsidRDefault="00574C09" w:rsidP="00574C09">
      <w:pPr>
        <w:jc w:val="both"/>
        <w:rPr>
          <w:b/>
          <w:sz w:val="20"/>
          <w:szCs w:val="20"/>
        </w:rPr>
      </w:pPr>
    </w:p>
    <w:p w14:paraId="03CF5769" w14:textId="0279C097" w:rsidR="00AA2A72" w:rsidRDefault="00574C09" w:rsidP="00574C09">
      <w:pPr>
        <w:jc w:val="both"/>
        <w:rPr>
          <w:sz w:val="20"/>
          <w:szCs w:val="20"/>
        </w:rPr>
      </w:pPr>
      <w:r w:rsidRPr="00DE171C">
        <w:rPr>
          <w:sz w:val="20"/>
          <w:szCs w:val="20"/>
        </w:rPr>
        <w:t xml:space="preserve">There are significant heritage sensitivities locally, such that the SPD proposal in respect of support for more intensive development (of the Hatcham Road site in particular), relative to the approach to development supported through the adopted </w:t>
      </w:r>
      <w:r w:rsidR="00BE2263">
        <w:rPr>
          <w:sz w:val="20"/>
          <w:szCs w:val="20"/>
        </w:rPr>
        <w:t xml:space="preserve">Site Allocations </w:t>
      </w:r>
      <w:r w:rsidR="00AA2A72">
        <w:rPr>
          <w:sz w:val="20"/>
          <w:szCs w:val="20"/>
        </w:rPr>
        <w:t>Local Plan</w:t>
      </w:r>
      <w:r w:rsidRPr="00DE171C">
        <w:rPr>
          <w:sz w:val="20"/>
          <w:szCs w:val="20"/>
        </w:rPr>
        <w:t xml:space="preserve">, leads to a degree of tension with heritage objectives.  However, detailed work has been completed in respect of ensuring a targeted approach to building heights, massing and design that responds to the </w:t>
      </w:r>
      <w:r w:rsidR="00074364" w:rsidRPr="00DE171C">
        <w:rPr>
          <w:sz w:val="20"/>
          <w:szCs w:val="20"/>
        </w:rPr>
        <w:t>constraints</w:t>
      </w:r>
      <w:r w:rsidRPr="00DE171C">
        <w:rPr>
          <w:sz w:val="20"/>
          <w:szCs w:val="20"/>
        </w:rPr>
        <w:t xml:space="preserve"> that exist.  </w:t>
      </w:r>
    </w:p>
    <w:p w14:paraId="289734D0" w14:textId="77777777" w:rsidR="00AA2A72" w:rsidRDefault="00AA2A72" w:rsidP="00574C09">
      <w:pPr>
        <w:jc w:val="both"/>
        <w:rPr>
          <w:sz w:val="20"/>
          <w:szCs w:val="20"/>
        </w:rPr>
      </w:pPr>
    </w:p>
    <w:p w14:paraId="3F429ECC" w14:textId="248D28EB" w:rsidR="00AA2A72" w:rsidRDefault="00574C09" w:rsidP="00574C09">
      <w:pPr>
        <w:jc w:val="both"/>
        <w:rPr>
          <w:sz w:val="20"/>
          <w:szCs w:val="20"/>
        </w:rPr>
      </w:pPr>
      <w:r w:rsidRPr="00DE171C">
        <w:rPr>
          <w:sz w:val="20"/>
          <w:szCs w:val="20"/>
        </w:rPr>
        <w:t xml:space="preserve">There are also transport issues locally; however, </w:t>
      </w:r>
      <w:r w:rsidR="00AA2A72">
        <w:rPr>
          <w:sz w:val="20"/>
          <w:szCs w:val="20"/>
        </w:rPr>
        <w:t>there will be much potential to deliver new and improved transport infrastructure through redevelopment of the site.</w:t>
      </w:r>
    </w:p>
    <w:p w14:paraId="29DB3149" w14:textId="77777777" w:rsidR="00AA2A72" w:rsidRDefault="00AA2A72" w:rsidP="00574C09">
      <w:pPr>
        <w:jc w:val="both"/>
        <w:rPr>
          <w:sz w:val="20"/>
          <w:szCs w:val="20"/>
        </w:rPr>
      </w:pPr>
    </w:p>
    <w:p w14:paraId="23DCC492" w14:textId="77777777" w:rsidR="00AA2A72" w:rsidRDefault="00AA2A72">
      <w:pPr>
        <w:spacing w:line="240" w:lineRule="auto"/>
        <w:rPr>
          <w:b/>
          <w:sz w:val="20"/>
          <w:szCs w:val="20"/>
        </w:rPr>
      </w:pPr>
      <w:r>
        <w:rPr>
          <w:b/>
          <w:sz w:val="20"/>
          <w:szCs w:val="20"/>
        </w:rPr>
        <w:br w:type="page"/>
      </w:r>
    </w:p>
    <w:p w14:paraId="2933DB3A" w14:textId="45608BB7" w:rsidR="00574C09" w:rsidRPr="00DE171C" w:rsidRDefault="00574C09" w:rsidP="00574C09">
      <w:pPr>
        <w:jc w:val="both"/>
        <w:rPr>
          <w:b/>
          <w:sz w:val="20"/>
          <w:szCs w:val="20"/>
        </w:rPr>
      </w:pPr>
      <w:r w:rsidRPr="00DE171C">
        <w:rPr>
          <w:b/>
          <w:sz w:val="20"/>
          <w:szCs w:val="20"/>
        </w:rPr>
        <w:lastRenderedPageBreak/>
        <w:t>Conclusion (Screening Opinion)</w:t>
      </w:r>
    </w:p>
    <w:p w14:paraId="456E133E" w14:textId="77777777" w:rsidR="00574C09" w:rsidRPr="00DE171C" w:rsidRDefault="00574C09" w:rsidP="00574C09">
      <w:pPr>
        <w:jc w:val="both"/>
        <w:rPr>
          <w:sz w:val="20"/>
          <w:szCs w:val="20"/>
        </w:rPr>
      </w:pPr>
    </w:p>
    <w:p w14:paraId="4A06AF52" w14:textId="77777777" w:rsidR="00BE2263" w:rsidRDefault="00574C09" w:rsidP="00574C09">
      <w:pPr>
        <w:jc w:val="both"/>
        <w:rPr>
          <w:sz w:val="20"/>
          <w:szCs w:val="20"/>
        </w:rPr>
      </w:pPr>
      <w:r w:rsidRPr="00DE171C">
        <w:rPr>
          <w:sz w:val="20"/>
          <w:szCs w:val="20"/>
        </w:rPr>
        <w:t xml:space="preserve">In conclusion, it is not considered likely that the SPD will lead to significant effects on the environmental baseline situation, which is one whereby the two sites within the SPD area are redeveloped in accordance with policies SA5 and SA6 of the Site Allocations </w:t>
      </w:r>
      <w:r w:rsidR="00AA2A72">
        <w:rPr>
          <w:sz w:val="20"/>
          <w:szCs w:val="20"/>
        </w:rPr>
        <w:t>Local Plan</w:t>
      </w:r>
      <w:r w:rsidRPr="00DE171C">
        <w:rPr>
          <w:sz w:val="20"/>
          <w:szCs w:val="20"/>
        </w:rPr>
        <w:t xml:space="preserve">.  </w:t>
      </w:r>
    </w:p>
    <w:p w14:paraId="4D5B56A0" w14:textId="77777777" w:rsidR="00BE2263" w:rsidRDefault="00BE2263" w:rsidP="00574C09">
      <w:pPr>
        <w:jc w:val="both"/>
        <w:rPr>
          <w:sz w:val="20"/>
          <w:szCs w:val="20"/>
        </w:rPr>
      </w:pPr>
    </w:p>
    <w:p w14:paraId="4629EA9B" w14:textId="4B6FBC6F" w:rsidR="00BE2263" w:rsidRDefault="00574C09" w:rsidP="00574C09">
      <w:pPr>
        <w:jc w:val="both"/>
        <w:rPr>
          <w:sz w:val="20"/>
          <w:szCs w:val="20"/>
        </w:rPr>
      </w:pPr>
      <w:r w:rsidRPr="00DE171C">
        <w:rPr>
          <w:sz w:val="20"/>
          <w:szCs w:val="20"/>
        </w:rPr>
        <w:t>The effect of the SPD will be to support a significant increase in the quantum of new homes delivered in the area, and more generally a more intensive form of redevelopment with taller buildings and increased massing; however, this is a relatively small area of land, and there is good potential to avoid and mitigate effects through policy.  Furthermore, there will be good potential to modify the plan following consultation, to reflect any concerns raised</w:t>
      </w:r>
      <w:r w:rsidR="00BE2263">
        <w:rPr>
          <w:sz w:val="20"/>
          <w:szCs w:val="20"/>
        </w:rPr>
        <w:t>, including any concerns raised in respect of heritage.</w:t>
      </w:r>
    </w:p>
    <w:p w14:paraId="721832BB" w14:textId="77777777" w:rsidR="00BE2263" w:rsidRDefault="00BE2263" w:rsidP="00574C09">
      <w:pPr>
        <w:jc w:val="both"/>
        <w:rPr>
          <w:sz w:val="20"/>
          <w:szCs w:val="20"/>
        </w:rPr>
      </w:pPr>
    </w:p>
    <w:p w14:paraId="2AE4FCD4" w14:textId="511A1EB0" w:rsidR="00574C09" w:rsidRPr="00DE171C" w:rsidRDefault="00574C09" w:rsidP="00574C09">
      <w:pPr>
        <w:jc w:val="both"/>
        <w:rPr>
          <w:rFonts w:eastAsia="Times New Roman"/>
          <w:bCs/>
          <w:sz w:val="20"/>
          <w:szCs w:val="20"/>
        </w:rPr>
      </w:pPr>
      <w:r w:rsidRPr="00DE171C">
        <w:rPr>
          <w:sz w:val="20"/>
          <w:szCs w:val="20"/>
        </w:rPr>
        <w:t xml:space="preserve">There would be little to be gained by formal assessment of alternatives and the emerging draft SPD against a systematic framework of environmental issues/objectives (i.e. SEA).  </w:t>
      </w:r>
      <w:r w:rsidRPr="00DE171C">
        <w:rPr>
          <w:rFonts w:eastAsia="Times New Roman"/>
          <w:bCs/>
          <w:sz w:val="20"/>
          <w:szCs w:val="20"/>
        </w:rPr>
        <w:t>As such, our recommendation is that the Plan is ‘screened-out’, i.e. need not be subject to SEA.</w:t>
      </w:r>
    </w:p>
    <w:p w14:paraId="2DC4198C" w14:textId="77777777" w:rsidR="00574C09" w:rsidRPr="00DE171C" w:rsidRDefault="00574C09" w:rsidP="00574C09">
      <w:pPr>
        <w:jc w:val="both"/>
        <w:rPr>
          <w:rFonts w:eastAsia="Arial"/>
          <w:sz w:val="20"/>
          <w:szCs w:val="20"/>
        </w:rPr>
      </w:pPr>
    </w:p>
    <w:p w14:paraId="5714E31B" w14:textId="77777777" w:rsidR="00574C09" w:rsidRPr="00DE171C" w:rsidRDefault="00574C09" w:rsidP="00574C09">
      <w:pPr>
        <w:jc w:val="both"/>
        <w:rPr>
          <w:b/>
          <w:sz w:val="20"/>
          <w:szCs w:val="20"/>
        </w:rPr>
      </w:pPr>
      <w:r w:rsidRPr="00DE171C">
        <w:rPr>
          <w:b/>
          <w:sz w:val="20"/>
          <w:szCs w:val="20"/>
        </w:rPr>
        <w:t>Next steps</w:t>
      </w:r>
    </w:p>
    <w:p w14:paraId="57595514" w14:textId="77777777" w:rsidR="00574C09" w:rsidRPr="00DE171C" w:rsidRDefault="00574C09" w:rsidP="00574C09">
      <w:pPr>
        <w:jc w:val="both"/>
        <w:rPr>
          <w:sz w:val="20"/>
          <w:szCs w:val="20"/>
        </w:rPr>
      </w:pPr>
    </w:p>
    <w:p w14:paraId="1921CB0B" w14:textId="77777777" w:rsidR="00574C09" w:rsidRPr="00DE171C" w:rsidRDefault="00574C09" w:rsidP="00574C09">
      <w:pPr>
        <w:jc w:val="both"/>
        <w:rPr>
          <w:sz w:val="20"/>
          <w:szCs w:val="20"/>
        </w:rPr>
      </w:pPr>
      <w:r w:rsidRPr="00DE171C">
        <w:rPr>
          <w:sz w:val="20"/>
          <w:szCs w:val="20"/>
        </w:rPr>
        <w:t xml:space="preserve">London Borough of Lewisham, as the responsible authority, should give consideration to this screening opinion, consult with the Statutory Consultees (Natural England, Historic England and the Environment Agency) and then reach a screening determination.  </w:t>
      </w:r>
    </w:p>
    <w:p w14:paraId="40771241" w14:textId="77777777" w:rsidR="00574C09" w:rsidRPr="00DE171C" w:rsidRDefault="00574C09" w:rsidP="00574C09">
      <w:pPr>
        <w:jc w:val="both"/>
        <w:rPr>
          <w:sz w:val="20"/>
          <w:szCs w:val="20"/>
        </w:rPr>
      </w:pPr>
    </w:p>
    <w:p w14:paraId="3EDAC3F4" w14:textId="2680E0B4" w:rsidR="00574C09" w:rsidRPr="00DE171C" w:rsidRDefault="00574C09" w:rsidP="00574C09">
      <w:pPr>
        <w:jc w:val="both"/>
        <w:rPr>
          <w:sz w:val="20"/>
          <w:szCs w:val="20"/>
        </w:rPr>
      </w:pPr>
      <w:r w:rsidRPr="00DE171C">
        <w:rPr>
          <w:sz w:val="20"/>
          <w:szCs w:val="20"/>
        </w:rPr>
        <w:t xml:space="preserve">If the plan is ultimately screened-out, then plan-making may continue without having to give further </w:t>
      </w:r>
      <w:r w:rsidR="004A01F1" w:rsidRPr="00DE171C">
        <w:rPr>
          <w:sz w:val="20"/>
          <w:szCs w:val="20"/>
        </w:rPr>
        <w:t xml:space="preserve">consideration </w:t>
      </w:r>
      <w:r w:rsidRPr="00DE171C">
        <w:rPr>
          <w:sz w:val="20"/>
          <w:szCs w:val="20"/>
        </w:rPr>
        <w:t>to SEA requirements; however, if it is ultimately determined that SEA is required</w:t>
      </w:r>
      <w:r w:rsidR="004A01F1" w:rsidRPr="00DE171C">
        <w:rPr>
          <w:sz w:val="20"/>
          <w:szCs w:val="20"/>
        </w:rPr>
        <w:t xml:space="preserve">, </w:t>
      </w:r>
      <w:r w:rsidRPr="00DE171C">
        <w:rPr>
          <w:sz w:val="20"/>
          <w:szCs w:val="20"/>
        </w:rPr>
        <w:t xml:space="preserve">there will be a need to undertake SEA in accordance in accordance with the </w:t>
      </w:r>
      <w:r w:rsidR="00074364" w:rsidRPr="00DE171C">
        <w:rPr>
          <w:sz w:val="20"/>
          <w:szCs w:val="20"/>
        </w:rPr>
        <w:t xml:space="preserve">regulatory </w:t>
      </w:r>
      <w:r w:rsidRPr="00DE171C">
        <w:rPr>
          <w:sz w:val="20"/>
          <w:szCs w:val="20"/>
        </w:rPr>
        <w:t>requirements</w:t>
      </w:r>
      <w:r w:rsidR="00074364" w:rsidRPr="00DE171C">
        <w:rPr>
          <w:sz w:val="20"/>
          <w:szCs w:val="20"/>
        </w:rPr>
        <w:t>.</w:t>
      </w:r>
    </w:p>
    <w:p w14:paraId="7DC19810" w14:textId="77777777" w:rsidR="00074364" w:rsidRPr="00DE171C" w:rsidRDefault="00074364" w:rsidP="00574C09">
      <w:pPr>
        <w:jc w:val="both"/>
        <w:rPr>
          <w:sz w:val="20"/>
          <w:szCs w:val="20"/>
        </w:rPr>
      </w:pPr>
    </w:p>
    <w:p w14:paraId="699C3D22" w14:textId="77777777" w:rsidR="00574C09" w:rsidRPr="00DE171C" w:rsidRDefault="00574C09" w:rsidP="00574C09">
      <w:pPr>
        <w:jc w:val="both"/>
        <w:rPr>
          <w:sz w:val="20"/>
          <w:szCs w:val="20"/>
        </w:rPr>
      </w:pPr>
      <w:r w:rsidRPr="00DE171C">
        <w:rPr>
          <w:sz w:val="20"/>
          <w:szCs w:val="20"/>
        </w:rPr>
        <w:t>Finally, it is important to note that our screening opinion is based on a series of assumptions, most notably in relation to the scope of the plan.  If the scope of the plan changes, such that these assumptions no longer hold true, then ‘re-screening’ could be necessary.</w:t>
      </w:r>
    </w:p>
    <w:p w14:paraId="29E224DC" w14:textId="77777777" w:rsidR="00574C09" w:rsidRPr="00DE171C" w:rsidRDefault="00574C09" w:rsidP="00574C09">
      <w:pPr>
        <w:jc w:val="both"/>
        <w:rPr>
          <w:sz w:val="20"/>
          <w:szCs w:val="20"/>
        </w:rPr>
      </w:pPr>
    </w:p>
    <w:p w14:paraId="63ACC7CA" w14:textId="77777777" w:rsidR="00574C09" w:rsidRPr="00DE171C" w:rsidRDefault="00574C09" w:rsidP="00574C09">
      <w:pPr>
        <w:jc w:val="both"/>
        <w:rPr>
          <w:sz w:val="20"/>
          <w:szCs w:val="20"/>
        </w:rPr>
      </w:pPr>
      <w:r w:rsidRPr="00DE171C">
        <w:rPr>
          <w:sz w:val="20"/>
          <w:szCs w:val="20"/>
        </w:rPr>
        <w:t>Please do get in touch with any queries regarding this SEA screening opinion, or next steps.</w:t>
      </w:r>
    </w:p>
    <w:p w14:paraId="76796F3D" w14:textId="77777777" w:rsidR="00574C09" w:rsidRPr="00DE171C" w:rsidRDefault="00574C09" w:rsidP="00574C09">
      <w:pPr>
        <w:jc w:val="both"/>
        <w:rPr>
          <w:sz w:val="20"/>
          <w:szCs w:val="20"/>
        </w:rPr>
      </w:pPr>
    </w:p>
    <w:p w14:paraId="2BAD75B7" w14:textId="77777777" w:rsidR="00574C09" w:rsidRPr="00DE171C" w:rsidRDefault="00574C09" w:rsidP="00574C09">
      <w:pPr>
        <w:jc w:val="both"/>
        <w:rPr>
          <w:sz w:val="20"/>
          <w:szCs w:val="20"/>
        </w:rPr>
      </w:pPr>
      <w:r w:rsidRPr="00DE171C">
        <w:rPr>
          <w:sz w:val="20"/>
          <w:szCs w:val="20"/>
        </w:rPr>
        <w:t>Yours sincerely</w:t>
      </w:r>
    </w:p>
    <w:p w14:paraId="3889BF61" w14:textId="77777777" w:rsidR="00574C09" w:rsidRPr="00DE171C" w:rsidRDefault="00574C09" w:rsidP="00574C09">
      <w:pPr>
        <w:jc w:val="both"/>
        <w:rPr>
          <w:b/>
          <w:sz w:val="20"/>
          <w:szCs w:val="20"/>
        </w:rPr>
      </w:pPr>
      <w:r w:rsidRPr="00DE171C">
        <w:rPr>
          <w:sz w:val="20"/>
          <w:szCs w:val="20"/>
        </w:rPr>
        <w:t xml:space="preserve">for </w:t>
      </w:r>
      <w:r w:rsidRPr="00DE171C">
        <w:rPr>
          <w:b/>
          <w:sz w:val="20"/>
          <w:szCs w:val="20"/>
        </w:rPr>
        <w:t>AECOM</w:t>
      </w:r>
      <w:r w:rsidRPr="00DE171C">
        <w:rPr>
          <w:sz w:val="20"/>
          <w:szCs w:val="20"/>
        </w:rPr>
        <w:t xml:space="preserve"> </w:t>
      </w:r>
      <w:r w:rsidRPr="00DE171C">
        <w:rPr>
          <w:b/>
          <w:sz w:val="20"/>
          <w:szCs w:val="20"/>
        </w:rPr>
        <w:t>Infrastructure &amp; Environment UK Limited</w:t>
      </w:r>
    </w:p>
    <w:p w14:paraId="177FB42C" w14:textId="4E1352E6" w:rsidR="00574C09" w:rsidRPr="00DE171C" w:rsidRDefault="00574C09" w:rsidP="00574C09">
      <w:pPr>
        <w:jc w:val="both"/>
        <w:rPr>
          <w:sz w:val="20"/>
          <w:szCs w:val="20"/>
        </w:rPr>
      </w:pPr>
    </w:p>
    <w:p w14:paraId="523BFEFB" w14:textId="61C36F8D" w:rsidR="00BE2263" w:rsidRPr="00DE171C" w:rsidRDefault="00BE2263" w:rsidP="00574C09">
      <w:pPr>
        <w:jc w:val="both"/>
        <w:rPr>
          <w:sz w:val="20"/>
          <w:szCs w:val="20"/>
        </w:rPr>
      </w:pPr>
      <w:r>
        <w:rPr>
          <w:noProof/>
          <w:lang w:eastAsia="en-GB"/>
        </w:rPr>
        <w:drawing>
          <wp:inline distT="0" distB="0" distL="0" distR="0" wp14:anchorId="219B5C3A" wp14:editId="0ACB4E11">
            <wp:extent cx="1413933" cy="8387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9985" cy="854205"/>
                    </a:xfrm>
                    <a:prstGeom prst="rect">
                      <a:avLst/>
                    </a:prstGeom>
                  </pic:spPr>
                </pic:pic>
              </a:graphicData>
            </a:graphic>
          </wp:inline>
        </w:drawing>
      </w:r>
    </w:p>
    <w:p w14:paraId="5792FAB5" w14:textId="77777777" w:rsidR="00574C09" w:rsidRPr="00DE171C" w:rsidRDefault="00574C09" w:rsidP="00574C09">
      <w:pPr>
        <w:jc w:val="both"/>
        <w:rPr>
          <w:sz w:val="20"/>
          <w:szCs w:val="20"/>
        </w:rPr>
      </w:pPr>
      <w:r w:rsidRPr="00DE171C">
        <w:rPr>
          <w:sz w:val="20"/>
          <w:szCs w:val="20"/>
        </w:rPr>
        <w:t>Mark Fessey</w:t>
      </w:r>
    </w:p>
    <w:p w14:paraId="3CA8D988" w14:textId="77777777" w:rsidR="00574C09" w:rsidRPr="00DE171C" w:rsidRDefault="00574C09" w:rsidP="00574C09">
      <w:pPr>
        <w:jc w:val="both"/>
        <w:rPr>
          <w:sz w:val="20"/>
          <w:szCs w:val="20"/>
        </w:rPr>
      </w:pPr>
      <w:r w:rsidRPr="00DE171C">
        <w:rPr>
          <w:sz w:val="20"/>
          <w:szCs w:val="20"/>
        </w:rPr>
        <w:t>Associate Director</w:t>
      </w:r>
    </w:p>
    <w:p w14:paraId="34ADFFD6" w14:textId="77777777" w:rsidR="00574C09" w:rsidRPr="00DE171C" w:rsidRDefault="00853FBE" w:rsidP="00574C09">
      <w:pPr>
        <w:jc w:val="both"/>
        <w:rPr>
          <w:sz w:val="20"/>
          <w:szCs w:val="20"/>
        </w:rPr>
      </w:pPr>
      <w:hyperlink r:id="rId12" w:history="1">
        <w:r w:rsidR="00574C09" w:rsidRPr="00DE171C">
          <w:rPr>
            <w:rStyle w:val="Hyperlink"/>
            <w:sz w:val="20"/>
            <w:szCs w:val="20"/>
          </w:rPr>
          <w:t>Mark.fessey@aecom.com</w:t>
        </w:r>
      </w:hyperlink>
      <w:r w:rsidR="00574C09" w:rsidRPr="00DE171C">
        <w:rPr>
          <w:sz w:val="20"/>
          <w:szCs w:val="20"/>
        </w:rPr>
        <w:t xml:space="preserve"> </w:t>
      </w:r>
    </w:p>
    <w:p w14:paraId="47FC9410" w14:textId="77777777" w:rsidR="00074364" w:rsidRPr="00DE171C" w:rsidRDefault="00074364">
      <w:pPr>
        <w:spacing w:line="240" w:lineRule="auto"/>
        <w:rPr>
          <w:b/>
          <w:sz w:val="20"/>
          <w:szCs w:val="20"/>
        </w:rPr>
      </w:pPr>
      <w:r w:rsidRPr="00DE171C">
        <w:rPr>
          <w:b/>
          <w:sz w:val="20"/>
          <w:szCs w:val="20"/>
        </w:rPr>
        <w:br w:type="page"/>
      </w:r>
    </w:p>
    <w:p w14:paraId="123C8EE2" w14:textId="06F389DD" w:rsidR="00574C09" w:rsidRPr="00DE171C" w:rsidRDefault="00574C09" w:rsidP="00574C09">
      <w:pPr>
        <w:spacing w:line="240" w:lineRule="auto"/>
        <w:rPr>
          <w:b/>
          <w:sz w:val="20"/>
          <w:szCs w:val="20"/>
        </w:rPr>
      </w:pPr>
      <w:r w:rsidRPr="00DE171C">
        <w:rPr>
          <w:b/>
          <w:sz w:val="20"/>
          <w:szCs w:val="20"/>
        </w:rPr>
        <w:lastRenderedPageBreak/>
        <w:t>Appendix 1: Regulatory checklist</w:t>
      </w:r>
    </w:p>
    <w:p w14:paraId="38423B49" w14:textId="77777777" w:rsidR="00574C09" w:rsidRPr="00DE171C" w:rsidRDefault="00574C09" w:rsidP="00574C09">
      <w:pPr>
        <w:spacing w:line="240" w:lineRule="auto"/>
        <w:rPr>
          <w:sz w:val="20"/>
          <w:szCs w:val="20"/>
        </w:rPr>
      </w:pPr>
    </w:p>
    <w:p w14:paraId="5FE9286C" w14:textId="77777777" w:rsidR="00574C09" w:rsidRPr="00DE171C" w:rsidRDefault="00574C09" w:rsidP="00574C09">
      <w:pPr>
        <w:spacing w:line="240" w:lineRule="auto"/>
        <w:rPr>
          <w:sz w:val="20"/>
          <w:szCs w:val="20"/>
        </w:rPr>
      </w:pPr>
      <w:r w:rsidRPr="00DE171C">
        <w:rPr>
          <w:sz w:val="20"/>
          <w:szCs w:val="20"/>
        </w:rPr>
        <w:t>As discussed above, under ‘Screening methodology’, Schedule 1 of the SEA Regulations lists a series of criteria that should be taken into account when establishing the potential for the plan to result in significant effects.  The aim of this appendix is to discuss matters under each criterion in turn.</w:t>
      </w:r>
    </w:p>
    <w:p w14:paraId="0EC0AD53" w14:textId="77777777" w:rsidR="00574C09" w:rsidRPr="00DE171C" w:rsidRDefault="00574C09" w:rsidP="00574C09">
      <w:pPr>
        <w:spacing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509"/>
        <w:gridCol w:w="1266"/>
        <w:gridCol w:w="4544"/>
      </w:tblGrid>
      <w:tr w:rsidR="00574C09" w:rsidRPr="00DE171C" w14:paraId="5CA68E52" w14:textId="77777777" w:rsidTr="00574C09">
        <w:trPr>
          <w:tblHeader/>
        </w:trPr>
        <w:tc>
          <w:tcPr>
            <w:tcW w:w="1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C606D2" w14:textId="77777777" w:rsidR="00574C09" w:rsidRPr="00DE171C" w:rsidRDefault="00574C09">
            <w:pPr>
              <w:keepNext/>
              <w:rPr>
                <w:rFonts w:cstheme="minorHAnsi"/>
                <w:b/>
                <w:sz w:val="20"/>
                <w:szCs w:val="20"/>
              </w:rPr>
            </w:pPr>
            <w:r w:rsidRPr="00DE171C">
              <w:rPr>
                <w:rFonts w:cstheme="minorHAnsi"/>
                <w:b/>
                <w:sz w:val="20"/>
                <w:szCs w:val="20"/>
              </w:rPr>
              <w:t>Criteria</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06C93" w14:textId="77777777" w:rsidR="00574C09" w:rsidRPr="00DE171C" w:rsidRDefault="00574C09">
            <w:pPr>
              <w:keepNext/>
              <w:rPr>
                <w:rFonts w:cstheme="minorHAnsi"/>
                <w:b/>
                <w:sz w:val="20"/>
                <w:szCs w:val="20"/>
              </w:rPr>
            </w:pPr>
            <w:r w:rsidRPr="00DE171C">
              <w:rPr>
                <w:rFonts w:cstheme="minorHAnsi"/>
                <w:b/>
                <w:sz w:val="20"/>
                <w:szCs w:val="20"/>
              </w:rPr>
              <w:t>Significant effect?</w:t>
            </w:r>
          </w:p>
        </w:tc>
        <w:tc>
          <w:tcPr>
            <w:tcW w:w="2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52056A" w14:textId="77777777" w:rsidR="00574C09" w:rsidRPr="00DE171C" w:rsidRDefault="00574C09">
            <w:pPr>
              <w:keepNext/>
              <w:rPr>
                <w:rFonts w:cstheme="minorHAnsi"/>
                <w:b/>
                <w:sz w:val="20"/>
                <w:szCs w:val="20"/>
                <w:highlight w:val="yellow"/>
              </w:rPr>
            </w:pPr>
            <w:r w:rsidRPr="00DE171C">
              <w:rPr>
                <w:rFonts w:cstheme="minorHAnsi"/>
                <w:b/>
                <w:sz w:val="20"/>
                <w:szCs w:val="20"/>
              </w:rPr>
              <w:t>Discussion</w:t>
            </w:r>
          </w:p>
        </w:tc>
      </w:tr>
      <w:tr w:rsidR="00574C09" w:rsidRPr="00DE171C" w14:paraId="56EE9D55" w14:textId="77777777" w:rsidTr="00574C09">
        <w:tc>
          <w:tcPr>
            <w:tcW w:w="0" w:type="auto"/>
            <w:gridSpan w:val="3"/>
            <w:tcBorders>
              <w:top w:val="single" w:sz="4" w:space="0" w:color="auto"/>
              <w:left w:val="single" w:sz="4" w:space="0" w:color="auto"/>
              <w:bottom w:val="single" w:sz="4" w:space="0" w:color="auto"/>
              <w:right w:val="single" w:sz="4" w:space="0" w:color="auto"/>
            </w:tcBorders>
            <w:hideMark/>
          </w:tcPr>
          <w:p w14:paraId="7CAEBF52" w14:textId="77777777" w:rsidR="00574C09" w:rsidRPr="00DE171C" w:rsidRDefault="00574C09">
            <w:pPr>
              <w:keepNext/>
              <w:rPr>
                <w:rFonts w:cstheme="minorHAnsi"/>
                <w:b/>
                <w:i/>
                <w:sz w:val="20"/>
                <w:szCs w:val="20"/>
              </w:rPr>
            </w:pPr>
            <w:r w:rsidRPr="00DE171C">
              <w:rPr>
                <w:rFonts w:cstheme="minorHAnsi"/>
                <w:b/>
                <w:i/>
                <w:sz w:val="20"/>
                <w:szCs w:val="20"/>
              </w:rPr>
              <w:t>1. The characteristics of the SPD, having particular regard to:</w:t>
            </w:r>
          </w:p>
        </w:tc>
      </w:tr>
      <w:tr w:rsidR="00574C09" w:rsidRPr="00DE171C" w14:paraId="2CD2885A"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1B169920" w14:textId="77777777" w:rsidR="00574C09" w:rsidRPr="00DE171C" w:rsidRDefault="00574C09">
            <w:pPr>
              <w:rPr>
                <w:rFonts w:cstheme="minorHAnsi"/>
                <w:sz w:val="20"/>
                <w:szCs w:val="20"/>
              </w:rPr>
            </w:pPr>
            <w:r w:rsidRPr="00DE171C">
              <w:rPr>
                <w:rFonts w:cstheme="minorHAnsi"/>
                <w:sz w:val="20"/>
                <w:szCs w:val="20"/>
              </w:rPr>
              <w:t>(a) the degree to which the SPD sets out a framework for projects and other activities, either with regard to the location, nature, size and operating conditions or by allocating resources.</w:t>
            </w:r>
          </w:p>
        </w:tc>
        <w:tc>
          <w:tcPr>
            <w:tcW w:w="679" w:type="pct"/>
            <w:tcBorders>
              <w:top w:val="single" w:sz="4" w:space="0" w:color="auto"/>
              <w:left w:val="single" w:sz="4" w:space="0" w:color="auto"/>
              <w:bottom w:val="single" w:sz="4" w:space="0" w:color="auto"/>
              <w:right w:val="single" w:sz="4" w:space="0" w:color="auto"/>
            </w:tcBorders>
            <w:hideMark/>
          </w:tcPr>
          <w:p w14:paraId="4CFD32E5"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289665F7" w14:textId="14617D86" w:rsidR="00574C09" w:rsidRPr="00DE171C" w:rsidRDefault="00574C09">
            <w:pPr>
              <w:rPr>
                <w:rFonts w:cstheme="minorHAnsi"/>
                <w:sz w:val="20"/>
                <w:szCs w:val="20"/>
              </w:rPr>
            </w:pPr>
            <w:r w:rsidRPr="00DE171C">
              <w:rPr>
                <w:rFonts w:cstheme="minorHAnsi"/>
                <w:sz w:val="20"/>
                <w:szCs w:val="20"/>
              </w:rPr>
              <w:t>The SPD does aim to set a framework for planning applications</w:t>
            </w:r>
            <w:r w:rsidR="00074364" w:rsidRPr="00DE171C">
              <w:rPr>
                <w:rFonts w:cstheme="minorHAnsi"/>
                <w:sz w:val="20"/>
                <w:szCs w:val="20"/>
              </w:rPr>
              <w:t>; however, this consideration in and of itself does not serve to suggest the likelihood of significant effects.</w:t>
            </w:r>
          </w:p>
        </w:tc>
      </w:tr>
      <w:tr w:rsidR="00574C09" w:rsidRPr="00DE171C" w14:paraId="14B19E58"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23C5B372" w14:textId="77777777" w:rsidR="00574C09" w:rsidRPr="00DE171C" w:rsidRDefault="00574C09">
            <w:pPr>
              <w:rPr>
                <w:rFonts w:cstheme="minorHAnsi"/>
                <w:sz w:val="20"/>
                <w:szCs w:val="20"/>
              </w:rPr>
            </w:pPr>
            <w:r w:rsidRPr="00DE171C">
              <w:rPr>
                <w:rFonts w:cstheme="minorHAnsi"/>
                <w:sz w:val="20"/>
                <w:szCs w:val="20"/>
              </w:rPr>
              <w:t>(b) the degree to which the SPD influences other plans and programmes including those in a hierarchy</w:t>
            </w:r>
          </w:p>
        </w:tc>
        <w:tc>
          <w:tcPr>
            <w:tcW w:w="679" w:type="pct"/>
            <w:tcBorders>
              <w:top w:val="single" w:sz="4" w:space="0" w:color="auto"/>
              <w:left w:val="single" w:sz="4" w:space="0" w:color="auto"/>
              <w:bottom w:val="single" w:sz="4" w:space="0" w:color="auto"/>
              <w:right w:val="single" w:sz="4" w:space="0" w:color="auto"/>
            </w:tcBorders>
            <w:hideMark/>
          </w:tcPr>
          <w:p w14:paraId="7281F294"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7E44139E" w14:textId="63AE5862" w:rsidR="00574C09" w:rsidRPr="00DE171C" w:rsidRDefault="00574C09" w:rsidP="00124D13">
            <w:pPr>
              <w:rPr>
                <w:rFonts w:cstheme="minorHAnsi"/>
                <w:sz w:val="20"/>
                <w:szCs w:val="20"/>
              </w:rPr>
            </w:pPr>
            <w:r w:rsidRPr="00DE171C">
              <w:rPr>
                <w:rFonts w:cstheme="minorHAnsi"/>
                <w:sz w:val="20"/>
                <w:szCs w:val="20"/>
              </w:rPr>
              <w:t>The SPD is not likely to have a significant bearing on the preparation of other plans or programmes</w:t>
            </w:r>
            <w:r w:rsidR="00BE2263">
              <w:rPr>
                <w:rFonts w:cstheme="minorHAnsi"/>
                <w:sz w:val="20"/>
                <w:szCs w:val="20"/>
              </w:rPr>
              <w:t xml:space="preserve">, although there could be implications for </w:t>
            </w:r>
            <w:r w:rsidR="00BE2263" w:rsidRPr="00DE171C">
              <w:rPr>
                <w:rFonts w:cstheme="minorHAnsi"/>
                <w:sz w:val="20"/>
                <w:szCs w:val="20"/>
              </w:rPr>
              <w:t>the Bakerloo Line Extension</w:t>
            </w:r>
            <w:r w:rsidR="00BE2263">
              <w:rPr>
                <w:rFonts w:cstheme="minorHAnsi"/>
                <w:sz w:val="20"/>
                <w:szCs w:val="20"/>
              </w:rPr>
              <w:t>.</w:t>
            </w:r>
          </w:p>
        </w:tc>
      </w:tr>
      <w:tr w:rsidR="00574C09" w:rsidRPr="00DE171C" w14:paraId="29524499"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7D1458E0" w14:textId="4B7F617D" w:rsidR="00574C09" w:rsidRPr="00DE171C" w:rsidRDefault="00574C09">
            <w:pPr>
              <w:rPr>
                <w:rFonts w:cstheme="minorHAnsi"/>
                <w:sz w:val="20"/>
                <w:szCs w:val="20"/>
              </w:rPr>
            </w:pPr>
            <w:r w:rsidRPr="00DE171C">
              <w:rPr>
                <w:rFonts w:cstheme="minorHAnsi"/>
                <w:sz w:val="20"/>
                <w:szCs w:val="20"/>
              </w:rPr>
              <w:t xml:space="preserve">(c) the relevance of the </w:t>
            </w:r>
            <w:r w:rsidR="00BE2263">
              <w:rPr>
                <w:rFonts w:cstheme="minorHAnsi"/>
                <w:sz w:val="20"/>
                <w:szCs w:val="20"/>
              </w:rPr>
              <w:t>SPD</w:t>
            </w:r>
            <w:r w:rsidRPr="00DE171C">
              <w:rPr>
                <w:rFonts w:cstheme="minorHAnsi"/>
                <w:sz w:val="20"/>
                <w:szCs w:val="20"/>
              </w:rPr>
              <w:t xml:space="preserve"> for the integration of environmental considerations in particular with a view to promoting sustainable development</w:t>
            </w:r>
          </w:p>
        </w:tc>
        <w:tc>
          <w:tcPr>
            <w:tcW w:w="679" w:type="pct"/>
            <w:tcBorders>
              <w:top w:val="single" w:sz="4" w:space="0" w:color="auto"/>
              <w:left w:val="single" w:sz="4" w:space="0" w:color="auto"/>
              <w:bottom w:val="single" w:sz="4" w:space="0" w:color="auto"/>
              <w:right w:val="single" w:sz="4" w:space="0" w:color="auto"/>
            </w:tcBorders>
            <w:hideMark/>
          </w:tcPr>
          <w:p w14:paraId="10A29173"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47B296DC" w14:textId="77777777" w:rsidR="00574C09" w:rsidRPr="00DE171C" w:rsidRDefault="00574C09">
            <w:pPr>
              <w:rPr>
                <w:rFonts w:cstheme="minorHAnsi"/>
                <w:sz w:val="20"/>
                <w:szCs w:val="20"/>
              </w:rPr>
            </w:pPr>
            <w:r w:rsidRPr="00DE171C">
              <w:rPr>
                <w:rFonts w:cstheme="minorHAnsi"/>
                <w:sz w:val="20"/>
                <w:szCs w:val="20"/>
              </w:rPr>
              <w:t>The SPD seeks to respond to a range of environmental constraints and opportunities, perhaps most notably in respect of heritage, views / townscape and transport/movement.  However, these issues/opportunities are of limited significance.</w:t>
            </w:r>
          </w:p>
        </w:tc>
      </w:tr>
      <w:tr w:rsidR="00574C09" w:rsidRPr="00DE171C" w14:paraId="40E187EB"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541E70C8" w14:textId="77777777" w:rsidR="00574C09" w:rsidRPr="00DE171C" w:rsidRDefault="00574C09">
            <w:pPr>
              <w:rPr>
                <w:rFonts w:cstheme="minorHAnsi"/>
                <w:sz w:val="20"/>
                <w:szCs w:val="20"/>
              </w:rPr>
            </w:pPr>
            <w:r w:rsidRPr="00DE171C">
              <w:rPr>
                <w:rFonts w:cstheme="minorHAnsi"/>
                <w:sz w:val="20"/>
                <w:szCs w:val="20"/>
              </w:rPr>
              <w:t>(d) environmental problems relevant to the plan or programme</w:t>
            </w:r>
          </w:p>
        </w:tc>
        <w:tc>
          <w:tcPr>
            <w:tcW w:w="679" w:type="pct"/>
            <w:tcBorders>
              <w:top w:val="single" w:sz="4" w:space="0" w:color="auto"/>
              <w:left w:val="single" w:sz="4" w:space="0" w:color="auto"/>
              <w:bottom w:val="single" w:sz="4" w:space="0" w:color="auto"/>
              <w:right w:val="single" w:sz="4" w:space="0" w:color="auto"/>
            </w:tcBorders>
            <w:hideMark/>
          </w:tcPr>
          <w:p w14:paraId="2ED98246"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69677432" w14:textId="77777777" w:rsidR="00574C09" w:rsidRPr="00DE171C" w:rsidRDefault="00574C09">
            <w:pPr>
              <w:rPr>
                <w:rFonts w:cstheme="minorHAnsi"/>
                <w:sz w:val="20"/>
                <w:szCs w:val="20"/>
              </w:rPr>
            </w:pPr>
            <w:r w:rsidRPr="00DE171C">
              <w:rPr>
                <w:rFonts w:cstheme="minorHAnsi"/>
                <w:sz w:val="20"/>
                <w:szCs w:val="20"/>
              </w:rPr>
              <w:t>In addition to the heritage constraints discussed above, it is fair to conclude that there are issues/problems in respect of the public realm and transport connectivity locally.  However, these problems are of limited significance.</w:t>
            </w:r>
          </w:p>
        </w:tc>
      </w:tr>
      <w:tr w:rsidR="00574C09" w:rsidRPr="00DE171C" w14:paraId="07D4B630"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27280F79" w14:textId="77777777" w:rsidR="00574C09" w:rsidRPr="00DE171C" w:rsidRDefault="00574C09">
            <w:pPr>
              <w:rPr>
                <w:rFonts w:cstheme="minorHAnsi"/>
                <w:sz w:val="20"/>
                <w:szCs w:val="20"/>
              </w:rPr>
            </w:pPr>
            <w:r w:rsidRPr="00DE171C">
              <w:rPr>
                <w:rFonts w:cstheme="minorHAnsi"/>
                <w:sz w:val="20"/>
                <w:szCs w:val="20"/>
              </w:rPr>
              <w:t>(e) the relevance of the plan for the implementation of Community legislation on the environment (for example plans and programmes related to waste management or water protection)</w:t>
            </w:r>
          </w:p>
        </w:tc>
        <w:tc>
          <w:tcPr>
            <w:tcW w:w="679" w:type="pct"/>
            <w:tcBorders>
              <w:top w:val="single" w:sz="4" w:space="0" w:color="auto"/>
              <w:left w:val="single" w:sz="4" w:space="0" w:color="auto"/>
              <w:bottom w:val="single" w:sz="4" w:space="0" w:color="auto"/>
              <w:right w:val="single" w:sz="4" w:space="0" w:color="auto"/>
            </w:tcBorders>
            <w:hideMark/>
          </w:tcPr>
          <w:p w14:paraId="46E66B46"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10AE3FDD" w14:textId="77777777" w:rsidR="00574C09" w:rsidRPr="00DE171C" w:rsidRDefault="00574C09">
            <w:pPr>
              <w:rPr>
                <w:rFonts w:cstheme="minorHAnsi"/>
                <w:sz w:val="20"/>
                <w:szCs w:val="20"/>
              </w:rPr>
            </w:pPr>
            <w:r w:rsidRPr="00DE171C">
              <w:rPr>
                <w:rFonts w:cstheme="minorHAnsi"/>
                <w:sz w:val="20"/>
                <w:szCs w:val="20"/>
              </w:rPr>
              <w:t>It is not anticipated that the SPD will have a notable bearing, in this respect.</w:t>
            </w:r>
          </w:p>
        </w:tc>
      </w:tr>
      <w:tr w:rsidR="00574C09" w:rsidRPr="00DE171C" w14:paraId="61014CE6" w14:textId="77777777" w:rsidTr="00574C09">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5E0C0F" w14:textId="77777777" w:rsidR="00574C09" w:rsidRPr="00DE171C" w:rsidRDefault="00574C09">
            <w:pPr>
              <w:rPr>
                <w:rFonts w:cstheme="minorHAnsi"/>
                <w:b/>
                <w:i/>
                <w:sz w:val="20"/>
                <w:szCs w:val="20"/>
              </w:rPr>
            </w:pPr>
            <w:r w:rsidRPr="00DE171C">
              <w:rPr>
                <w:rFonts w:cstheme="minorHAnsi"/>
                <w:b/>
                <w:i/>
                <w:sz w:val="20"/>
                <w:szCs w:val="20"/>
              </w:rPr>
              <w:t>2. Characteristics of the effects and of the area likely to be affected, having regard, in particular,</w:t>
            </w:r>
          </w:p>
        </w:tc>
      </w:tr>
      <w:tr w:rsidR="00574C09" w:rsidRPr="00DE171C" w14:paraId="32506239"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09F00F44" w14:textId="77777777" w:rsidR="00574C09" w:rsidRPr="00DE171C" w:rsidRDefault="00574C09">
            <w:pPr>
              <w:rPr>
                <w:rFonts w:cstheme="minorHAnsi"/>
                <w:sz w:val="20"/>
                <w:szCs w:val="20"/>
              </w:rPr>
            </w:pPr>
            <w:r w:rsidRPr="00DE171C">
              <w:rPr>
                <w:rFonts w:cstheme="minorHAnsi"/>
                <w:sz w:val="20"/>
                <w:szCs w:val="20"/>
              </w:rPr>
              <w:t>(a) The probability, duration, frequency and reversibility of the effects</w:t>
            </w:r>
          </w:p>
        </w:tc>
        <w:tc>
          <w:tcPr>
            <w:tcW w:w="679" w:type="pct"/>
            <w:tcBorders>
              <w:top w:val="single" w:sz="4" w:space="0" w:color="auto"/>
              <w:left w:val="single" w:sz="4" w:space="0" w:color="auto"/>
              <w:bottom w:val="single" w:sz="4" w:space="0" w:color="auto"/>
              <w:right w:val="single" w:sz="4" w:space="0" w:color="auto"/>
            </w:tcBorders>
            <w:hideMark/>
          </w:tcPr>
          <w:p w14:paraId="598652E8"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112778C2" w14:textId="77777777" w:rsidR="00574C09" w:rsidRPr="00DE171C" w:rsidRDefault="00574C09">
            <w:pPr>
              <w:rPr>
                <w:rFonts w:cstheme="minorHAnsi"/>
                <w:sz w:val="20"/>
                <w:szCs w:val="20"/>
              </w:rPr>
            </w:pPr>
            <w:r w:rsidRPr="00DE171C">
              <w:rPr>
                <w:rFonts w:cstheme="minorHAnsi"/>
                <w:sz w:val="20"/>
                <w:szCs w:val="20"/>
              </w:rPr>
              <w:t>The effects of the plan will be felt over the long term, and will be for all intents and purposes irreversible; however, this does not in itself lead to a conclusion that effects will be significant.</w:t>
            </w:r>
          </w:p>
        </w:tc>
      </w:tr>
      <w:tr w:rsidR="00574C09" w:rsidRPr="00DE171C" w14:paraId="1C0E22F0"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50D503F1" w14:textId="77777777" w:rsidR="00574C09" w:rsidRPr="00DE171C" w:rsidRDefault="00574C09">
            <w:pPr>
              <w:rPr>
                <w:rFonts w:cstheme="minorHAnsi"/>
                <w:sz w:val="20"/>
                <w:szCs w:val="20"/>
              </w:rPr>
            </w:pPr>
            <w:r w:rsidRPr="00DE171C">
              <w:rPr>
                <w:rFonts w:cstheme="minorHAnsi"/>
                <w:sz w:val="20"/>
                <w:szCs w:val="20"/>
              </w:rPr>
              <w:t>(b) the cumulative nature of the effects</w:t>
            </w:r>
          </w:p>
        </w:tc>
        <w:tc>
          <w:tcPr>
            <w:tcW w:w="679" w:type="pct"/>
            <w:tcBorders>
              <w:top w:val="single" w:sz="4" w:space="0" w:color="auto"/>
              <w:left w:val="single" w:sz="4" w:space="0" w:color="auto"/>
              <w:bottom w:val="single" w:sz="4" w:space="0" w:color="auto"/>
              <w:right w:val="single" w:sz="4" w:space="0" w:color="auto"/>
            </w:tcBorders>
            <w:hideMark/>
          </w:tcPr>
          <w:p w14:paraId="17050939"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373F8CED" w14:textId="77777777" w:rsidR="00574C09" w:rsidRPr="00DE171C" w:rsidRDefault="00574C09">
            <w:pPr>
              <w:rPr>
                <w:rFonts w:cstheme="minorHAnsi"/>
                <w:sz w:val="20"/>
                <w:szCs w:val="20"/>
              </w:rPr>
            </w:pPr>
            <w:r w:rsidRPr="00DE171C">
              <w:rPr>
                <w:rFonts w:cstheme="minorHAnsi"/>
                <w:sz w:val="20"/>
                <w:szCs w:val="20"/>
              </w:rPr>
              <w:t>The SPD will be implemented alongside the Local Plan and the London Plan, and so there will be a cumulative effect; however, this does not in itself lead to a conclusion that effects will be significant.</w:t>
            </w:r>
          </w:p>
        </w:tc>
      </w:tr>
      <w:tr w:rsidR="00574C09" w:rsidRPr="00DE171C" w14:paraId="045EE55C"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655F058F" w14:textId="77777777" w:rsidR="00574C09" w:rsidRPr="00DE171C" w:rsidRDefault="00574C09">
            <w:pPr>
              <w:rPr>
                <w:rFonts w:cstheme="minorHAnsi"/>
                <w:sz w:val="20"/>
                <w:szCs w:val="20"/>
              </w:rPr>
            </w:pPr>
            <w:r w:rsidRPr="00DE171C">
              <w:rPr>
                <w:rFonts w:cstheme="minorHAnsi"/>
                <w:sz w:val="20"/>
                <w:szCs w:val="20"/>
              </w:rPr>
              <w:t>(c) the trans boundary nature of the effects</w:t>
            </w:r>
          </w:p>
        </w:tc>
        <w:tc>
          <w:tcPr>
            <w:tcW w:w="679" w:type="pct"/>
            <w:tcBorders>
              <w:top w:val="single" w:sz="4" w:space="0" w:color="auto"/>
              <w:left w:val="single" w:sz="4" w:space="0" w:color="auto"/>
              <w:bottom w:val="single" w:sz="4" w:space="0" w:color="auto"/>
              <w:right w:val="single" w:sz="4" w:space="0" w:color="auto"/>
            </w:tcBorders>
            <w:hideMark/>
          </w:tcPr>
          <w:p w14:paraId="09653DE2"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0C03AF0B" w14:textId="6D520545" w:rsidR="00574C09" w:rsidRPr="00DE171C" w:rsidRDefault="00BE2263">
            <w:pPr>
              <w:rPr>
                <w:rFonts w:cstheme="minorHAnsi"/>
                <w:sz w:val="20"/>
                <w:szCs w:val="20"/>
              </w:rPr>
            </w:pPr>
            <w:r>
              <w:rPr>
                <w:rFonts w:cstheme="minorHAnsi"/>
                <w:sz w:val="20"/>
                <w:szCs w:val="20"/>
              </w:rPr>
              <w:t>No relevant; no international effects on other EU member states.</w:t>
            </w:r>
          </w:p>
        </w:tc>
      </w:tr>
      <w:tr w:rsidR="00574C09" w:rsidRPr="00DE171C" w14:paraId="10E8206E"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47919BEA" w14:textId="77777777" w:rsidR="00574C09" w:rsidRPr="00DE171C" w:rsidRDefault="00574C09">
            <w:pPr>
              <w:rPr>
                <w:rFonts w:cstheme="minorHAnsi"/>
                <w:sz w:val="20"/>
                <w:szCs w:val="20"/>
              </w:rPr>
            </w:pPr>
            <w:r w:rsidRPr="00DE171C">
              <w:rPr>
                <w:rFonts w:cstheme="minorHAnsi"/>
                <w:sz w:val="20"/>
                <w:szCs w:val="20"/>
              </w:rPr>
              <w:t>(d) the risks to human health or the environment (e.g. due to accident)</w:t>
            </w:r>
          </w:p>
        </w:tc>
        <w:tc>
          <w:tcPr>
            <w:tcW w:w="679" w:type="pct"/>
            <w:tcBorders>
              <w:top w:val="single" w:sz="4" w:space="0" w:color="auto"/>
              <w:left w:val="single" w:sz="4" w:space="0" w:color="auto"/>
              <w:bottom w:val="single" w:sz="4" w:space="0" w:color="auto"/>
              <w:right w:val="single" w:sz="4" w:space="0" w:color="auto"/>
            </w:tcBorders>
            <w:hideMark/>
          </w:tcPr>
          <w:p w14:paraId="38174144"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6F2F9EB3" w14:textId="4C24F7C4" w:rsidR="00574C09" w:rsidRPr="00DE171C" w:rsidRDefault="00574C09">
            <w:pPr>
              <w:rPr>
                <w:rFonts w:cstheme="minorHAnsi"/>
                <w:sz w:val="20"/>
                <w:szCs w:val="20"/>
              </w:rPr>
            </w:pPr>
            <w:r w:rsidRPr="00DE171C">
              <w:rPr>
                <w:rFonts w:cstheme="minorHAnsi"/>
                <w:sz w:val="20"/>
                <w:szCs w:val="20"/>
              </w:rPr>
              <w:t>Environmental quality and environmental health</w:t>
            </w:r>
            <w:r w:rsidR="00124D13" w:rsidRPr="00DE171C">
              <w:rPr>
                <w:rFonts w:cstheme="minorHAnsi"/>
                <w:sz w:val="20"/>
                <w:szCs w:val="20"/>
              </w:rPr>
              <w:t xml:space="preserve"> </w:t>
            </w:r>
            <w:r w:rsidRPr="00DE171C">
              <w:rPr>
                <w:rFonts w:cstheme="minorHAnsi"/>
                <w:sz w:val="20"/>
                <w:szCs w:val="20"/>
              </w:rPr>
              <w:t>are matters relevant to the SPD; however, the SPD is not likely to lead to any risks.</w:t>
            </w:r>
          </w:p>
        </w:tc>
      </w:tr>
      <w:tr w:rsidR="00574C09" w:rsidRPr="00DE171C" w14:paraId="17DB4DBB"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3430E8EA" w14:textId="77777777" w:rsidR="00574C09" w:rsidRPr="00DE171C" w:rsidRDefault="00574C09">
            <w:pPr>
              <w:rPr>
                <w:rFonts w:cstheme="minorHAnsi"/>
                <w:sz w:val="20"/>
                <w:szCs w:val="20"/>
              </w:rPr>
            </w:pPr>
            <w:r w:rsidRPr="00DE171C">
              <w:rPr>
                <w:rFonts w:cstheme="minorHAnsi"/>
                <w:sz w:val="20"/>
                <w:szCs w:val="20"/>
              </w:rPr>
              <w:t>(e) the magnitude and spatial extent of the effects (geographical area and size of the population likely to be affected)</w:t>
            </w:r>
          </w:p>
        </w:tc>
        <w:tc>
          <w:tcPr>
            <w:tcW w:w="679" w:type="pct"/>
            <w:tcBorders>
              <w:top w:val="single" w:sz="4" w:space="0" w:color="auto"/>
              <w:left w:val="single" w:sz="4" w:space="0" w:color="auto"/>
              <w:bottom w:val="single" w:sz="4" w:space="0" w:color="auto"/>
              <w:right w:val="single" w:sz="4" w:space="0" w:color="auto"/>
            </w:tcBorders>
            <w:hideMark/>
          </w:tcPr>
          <w:p w14:paraId="53642163" w14:textId="77777777" w:rsidR="00574C09" w:rsidRPr="00DE171C" w:rsidRDefault="00574C09">
            <w:pPr>
              <w:rPr>
                <w:rFonts w:cstheme="minorHAnsi"/>
                <w:sz w:val="20"/>
                <w:szCs w:val="20"/>
              </w:rPr>
            </w:pPr>
            <w:r w:rsidRPr="00DE171C">
              <w:rPr>
                <w:rFonts w:cstheme="minorHAnsi"/>
                <w:sz w:val="20"/>
                <w:szCs w:val="20"/>
              </w:rPr>
              <w:t>No</w:t>
            </w:r>
          </w:p>
        </w:tc>
        <w:tc>
          <w:tcPr>
            <w:tcW w:w="2438" w:type="pct"/>
            <w:tcBorders>
              <w:top w:val="single" w:sz="4" w:space="0" w:color="auto"/>
              <w:left w:val="single" w:sz="4" w:space="0" w:color="auto"/>
              <w:bottom w:val="single" w:sz="4" w:space="0" w:color="auto"/>
              <w:right w:val="single" w:sz="4" w:space="0" w:color="auto"/>
            </w:tcBorders>
            <w:hideMark/>
          </w:tcPr>
          <w:p w14:paraId="4361BEA3" w14:textId="1EF26494" w:rsidR="00574C09" w:rsidRPr="00DE171C" w:rsidRDefault="00574C09">
            <w:pPr>
              <w:rPr>
                <w:rFonts w:cstheme="minorHAnsi"/>
                <w:sz w:val="20"/>
                <w:szCs w:val="20"/>
              </w:rPr>
            </w:pPr>
            <w:r w:rsidRPr="00DE171C">
              <w:rPr>
                <w:rFonts w:cstheme="minorHAnsi"/>
                <w:sz w:val="20"/>
                <w:szCs w:val="20"/>
              </w:rPr>
              <w:t>The key point to note is in respect of the magnitude of the increase in housing quantum supported by the SPD, and support for taller buildings and increased massing</w:t>
            </w:r>
            <w:r w:rsidR="00124D13" w:rsidRPr="00DE171C">
              <w:rPr>
                <w:rFonts w:cstheme="minorHAnsi"/>
                <w:sz w:val="20"/>
                <w:szCs w:val="20"/>
              </w:rPr>
              <w:t xml:space="preserve"> with a bearing </w:t>
            </w:r>
            <w:r w:rsidR="00124D13" w:rsidRPr="00DE171C">
              <w:rPr>
                <w:rFonts w:cstheme="minorHAnsi"/>
                <w:sz w:val="20"/>
                <w:szCs w:val="20"/>
              </w:rPr>
              <w:lastRenderedPageBreak/>
              <w:t>on the surrounding area</w:t>
            </w:r>
            <w:r w:rsidRPr="00DE171C">
              <w:rPr>
                <w:rFonts w:cstheme="minorHAnsi"/>
                <w:sz w:val="20"/>
                <w:szCs w:val="20"/>
              </w:rPr>
              <w:t>; however, these factors do not in themselves serve to suggest that effects will be significant.</w:t>
            </w:r>
          </w:p>
        </w:tc>
      </w:tr>
      <w:tr w:rsidR="00574C09" w:rsidRPr="00DE171C" w14:paraId="6441E603"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5341C298" w14:textId="77777777" w:rsidR="00574C09" w:rsidRPr="00DE171C" w:rsidRDefault="00574C09">
            <w:pPr>
              <w:rPr>
                <w:rFonts w:cstheme="minorHAnsi"/>
                <w:sz w:val="20"/>
                <w:szCs w:val="20"/>
              </w:rPr>
            </w:pPr>
            <w:r w:rsidRPr="00DE171C">
              <w:rPr>
                <w:rFonts w:cstheme="minorHAnsi"/>
                <w:sz w:val="20"/>
                <w:szCs w:val="20"/>
              </w:rPr>
              <w:lastRenderedPageBreak/>
              <w:t>(f) the value and vulnerability of the area likely to be affected due to:</w:t>
            </w:r>
          </w:p>
          <w:p w14:paraId="1CD31BE2" w14:textId="77777777" w:rsidR="00574C09" w:rsidRPr="00DE171C" w:rsidRDefault="00574C09" w:rsidP="00574C09">
            <w:pPr>
              <w:numPr>
                <w:ilvl w:val="0"/>
                <w:numId w:val="36"/>
              </w:numPr>
              <w:spacing w:line="240" w:lineRule="auto"/>
              <w:rPr>
                <w:rFonts w:cstheme="minorHAnsi"/>
                <w:sz w:val="20"/>
                <w:szCs w:val="20"/>
              </w:rPr>
            </w:pPr>
            <w:r w:rsidRPr="00DE171C">
              <w:rPr>
                <w:rFonts w:cstheme="minorHAnsi"/>
                <w:sz w:val="20"/>
                <w:szCs w:val="20"/>
              </w:rPr>
              <w:t>Special natural characteristics or cultural heritage</w:t>
            </w:r>
          </w:p>
          <w:p w14:paraId="69E17EB2" w14:textId="77777777" w:rsidR="00574C09" w:rsidRPr="00DE171C" w:rsidRDefault="00574C09" w:rsidP="00574C09">
            <w:pPr>
              <w:numPr>
                <w:ilvl w:val="0"/>
                <w:numId w:val="36"/>
              </w:numPr>
              <w:spacing w:line="240" w:lineRule="auto"/>
              <w:rPr>
                <w:rFonts w:cstheme="minorHAnsi"/>
                <w:sz w:val="20"/>
                <w:szCs w:val="20"/>
              </w:rPr>
            </w:pPr>
            <w:r w:rsidRPr="00DE171C">
              <w:rPr>
                <w:rFonts w:cstheme="minorHAnsi"/>
                <w:sz w:val="20"/>
                <w:szCs w:val="20"/>
              </w:rPr>
              <w:t>Exceeded environmental quality standards or limit values</w:t>
            </w:r>
          </w:p>
          <w:p w14:paraId="0AC66B74" w14:textId="77777777" w:rsidR="00574C09" w:rsidRPr="00DE171C" w:rsidRDefault="00574C09" w:rsidP="00574C09">
            <w:pPr>
              <w:numPr>
                <w:ilvl w:val="0"/>
                <w:numId w:val="36"/>
              </w:numPr>
              <w:spacing w:line="240" w:lineRule="auto"/>
              <w:rPr>
                <w:rFonts w:cstheme="minorHAnsi"/>
                <w:sz w:val="20"/>
                <w:szCs w:val="20"/>
              </w:rPr>
            </w:pPr>
            <w:r w:rsidRPr="00DE171C">
              <w:rPr>
                <w:rFonts w:cstheme="minorHAnsi"/>
                <w:sz w:val="20"/>
                <w:szCs w:val="20"/>
              </w:rPr>
              <w:t>Intensive land use</w:t>
            </w:r>
          </w:p>
        </w:tc>
        <w:tc>
          <w:tcPr>
            <w:tcW w:w="679" w:type="pct"/>
            <w:tcBorders>
              <w:top w:val="single" w:sz="4" w:space="0" w:color="auto"/>
              <w:left w:val="single" w:sz="4" w:space="0" w:color="auto"/>
              <w:bottom w:val="single" w:sz="4" w:space="0" w:color="auto"/>
              <w:right w:val="single" w:sz="4" w:space="0" w:color="auto"/>
            </w:tcBorders>
            <w:hideMark/>
          </w:tcPr>
          <w:p w14:paraId="7914ED1F" w14:textId="77777777" w:rsidR="00574C09" w:rsidRPr="00DE171C" w:rsidRDefault="00574C09">
            <w:pPr>
              <w:rPr>
                <w:rFonts w:cstheme="minorHAnsi"/>
                <w:sz w:val="20"/>
                <w:szCs w:val="20"/>
              </w:rPr>
            </w:pPr>
            <w:r w:rsidRPr="00DE171C">
              <w:rPr>
                <w:rFonts w:cstheme="minorHAnsi"/>
                <w:sz w:val="20"/>
                <w:szCs w:val="20"/>
              </w:rPr>
              <w:t>No</w:t>
            </w:r>
          </w:p>
        </w:tc>
        <w:tc>
          <w:tcPr>
            <w:tcW w:w="2438" w:type="pct"/>
            <w:vMerge w:val="restart"/>
            <w:tcBorders>
              <w:top w:val="single" w:sz="4" w:space="0" w:color="auto"/>
              <w:left w:val="single" w:sz="4" w:space="0" w:color="auto"/>
              <w:bottom w:val="single" w:sz="4" w:space="0" w:color="auto"/>
              <w:right w:val="single" w:sz="4" w:space="0" w:color="auto"/>
            </w:tcBorders>
            <w:hideMark/>
          </w:tcPr>
          <w:p w14:paraId="32D9B001" w14:textId="1152FC6A" w:rsidR="00574C09" w:rsidRPr="00DE171C" w:rsidRDefault="00574C09">
            <w:pPr>
              <w:rPr>
                <w:rFonts w:cstheme="minorHAnsi"/>
                <w:sz w:val="20"/>
                <w:szCs w:val="20"/>
              </w:rPr>
            </w:pPr>
            <w:r w:rsidRPr="00DE171C">
              <w:rPr>
                <w:rFonts w:cstheme="minorHAnsi"/>
                <w:sz w:val="20"/>
                <w:szCs w:val="20"/>
              </w:rPr>
              <w:t xml:space="preserve">There are number of constraints in the local area, most notably in respect of heritage, with one </w:t>
            </w:r>
            <w:r w:rsidR="00124D13" w:rsidRPr="00DE171C">
              <w:rPr>
                <w:rFonts w:cstheme="minorHAnsi"/>
                <w:sz w:val="20"/>
                <w:szCs w:val="20"/>
              </w:rPr>
              <w:t>c</w:t>
            </w:r>
            <w:r w:rsidRPr="00DE171C">
              <w:rPr>
                <w:rFonts w:cstheme="minorHAnsi"/>
                <w:sz w:val="20"/>
                <w:szCs w:val="20"/>
              </w:rPr>
              <w:t xml:space="preserve">onservation </w:t>
            </w:r>
            <w:r w:rsidR="00124D13" w:rsidRPr="00DE171C">
              <w:rPr>
                <w:rFonts w:cstheme="minorHAnsi"/>
                <w:sz w:val="20"/>
                <w:szCs w:val="20"/>
              </w:rPr>
              <w:t>a</w:t>
            </w:r>
            <w:r w:rsidRPr="00DE171C">
              <w:rPr>
                <w:rFonts w:cstheme="minorHAnsi"/>
                <w:sz w:val="20"/>
                <w:szCs w:val="20"/>
              </w:rPr>
              <w:t xml:space="preserve">rea intersecting the southern-most part of the SPD area and two further </w:t>
            </w:r>
            <w:r w:rsidR="00124D13" w:rsidRPr="00DE171C">
              <w:rPr>
                <w:rFonts w:cstheme="minorHAnsi"/>
                <w:sz w:val="20"/>
                <w:szCs w:val="20"/>
              </w:rPr>
              <w:t>c</w:t>
            </w:r>
            <w:r w:rsidRPr="00DE171C">
              <w:rPr>
                <w:rFonts w:cstheme="minorHAnsi"/>
                <w:sz w:val="20"/>
                <w:szCs w:val="20"/>
              </w:rPr>
              <w:t xml:space="preserve">onservation </w:t>
            </w:r>
            <w:r w:rsidR="00124D13" w:rsidRPr="00DE171C">
              <w:rPr>
                <w:rFonts w:cstheme="minorHAnsi"/>
                <w:sz w:val="20"/>
                <w:szCs w:val="20"/>
              </w:rPr>
              <w:t>a</w:t>
            </w:r>
            <w:r w:rsidRPr="00DE171C">
              <w:rPr>
                <w:rFonts w:cstheme="minorHAnsi"/>
                <w:sz w:val="20"/>
                <w:szCs w:val="20"/>
              </w:rPr>
              <w:t>reas adjacent.</w:t>
            </w:r>
            <w:r w:rsidR="00124D13" w:rsidRPr="00DE171C">
              <w:rPr>
                <w:rFonts w:cstheme="minorHAnsi"/>
                <w:sz w:val="20"/>
                <w:szCs w:val="20"/>
              </w:rPr>
              <w:t xml:space="preserve">  In respect of landscape there </w:t>
            </w:r>
            <w:r w:rsidR="006F17D5" w:rsidRPr="00DE171C">
              <w:rPr>
                <w:rFonts w:cstheme="minorHAnsi"/>
                <w:sz w:val="20"/>
                <w:szCs w:val="20"/>
              </w:rPr>
              <w:t xml:space="preserve">are </w:t>
            </w:r>
            <w:r w:rsidR="00124D13" w:rsidRPr="00DE171C">
              <w:rPr>
                <w:rFonts w:cstheme="minorHAnsi"/>
                <w:sz w:val="20"/>
                <w:szCs w:val="20"/>
              </w:rPr>
              <w:t>protected views, but these are not of national significance.  Overall, the special characteristics etc. of the local are</w:t>
            </w:r>
            <w:r w:rsidR="006F17D5" w:rsidRPr="00DE171C">
              <w:rPr>
                <w:rFonts w:cstheme="minorHAnsi"/>
                <w:sz w:val="20"/>
                <w:szCs w:val="20"/>
              </w:rPr>
              <w:t>a</w:t>
            </w:r>
            <w:r w:rsidR="00124D13" w:rsidRPr="00DE171C">
              <w:rPr>
                <w:rFonts w:cstheme="minorHAnsi"/>
                <w:sz w:val="20"/>
                <w:szCs w:val="20"/>
              </w:rPr>
              <w:t xml:space="preserve"> do not suggest the likelihood of significant effects.</w:t>
            </w:r>
          </w:p>
        </w:tc>
      </w:tr>
      <w:tr w:rsidR="00574C09" w:rsidRPr="00DE171C" w14:paraId="7CDBEAF7" w14:textId="77777777" w:rsidTr="00574C09">
        <w:tc>
          <w:tcPr>
            <w:tcW w:w="1883" w:type="pct"/>
            <w:tcBorders>
              <w:top w:val="single" w:sz="4" w:space="0" w:color="auto"/>
              <w:left w:val="single" w:sz="4" w:space="0" w:color="auto"/>
              <w:bottom w:val="single" w:sz="4" w:space="0" w:color="auto"/>
              <w:right w:val="single" w:sz="4" w:space="0" w:color="auto"/>
            </w:tcBorders>
            <w:hideMark/>
          </w:tcPr>
          <w:p w14:paraId="4F21DE26" w14:textId="77777777" w:rsidR="00574C09" w:rsidRPr="00DE171C" w:rsidRDefault="00574C09">
            <w:pPr>
              <w:rPr>
                <w:rFonts w:cstheme="minorHAnsi"/>
                <w:sz w:val="20"/>
                <w:szCs w:val="20"/>
              </w:rPr>
            </w:pPr>
            <w:r w:rsidRPr="00DE171C">
              <w:rPr>
                <w:rFonts w:cstheme="minorHAnsi"/>
                <w:sz w:val="20"/>
                <w:szCs w:val="20"/>
              </w:rPr>
              <w:t>(g) the effects on areas or landscapes which have a recognised national, Community or international protection status</w:t>
            </w:r>
          </w:p>
        </w:tc>
        <w:tc>
          <w:tcPr>
            <w:tcW w:w="679" w:type="pct"/>
            <w:tcBorders>
              <w:top w:val="single" w:sz="4" w:space="0" w:color="auto"/>
              <w:left w:val="single" w:sz="4" w:space="0" w:color="auto"/>
              <w:bottom w:val="single" w:sz="4" w:space="0" w:color="auto"/>
              <w:right w:val="single" w:sz="4" w:space="0" w:color="auto"/>
            </w:tcBorders>
            <w:hideMark/>
          </w:tcPr>
          <w:p w14:paraId="61544892" w14:textId="77777777" w:rsidR="00574C09" w:rsidRPr="00DE171C" w:rsidRDefault="00574C09">
            <w:pPr>
              <w:rPr>
                <w:rFonts w:cstheme="minorHAnsi"/>
                <w:sz w:val="20"/>
                <w:szCs w:val="20"/>
              </w:rPr>
            </w:pPr>
            <w:r w:rsidRPr="00DE171C">
              <w:rPr>
                <w:rFonts w:cstheme="minorHAnsi"/>
                <w:sz w:val="20"/>
                <w:szCs w:val="20"/>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0F109" w14:textId="77777777" w:rsidR="00574C09" w:rsidRPr="00DE171C" w:rsidRDefault="00574C09">
            <w:pPr>
              <w:spacing w:line="240" w:lineRule="auto"/>
              <w:rPr>
                <w:rFonts w:cstheme="minorHAnsi"/>
                <w:sz w:val="20"/>
                <w:szCs w:val="20"/>
                <w:lang w:val="en-US"/>
              </w:rPr>
            </w:pPr>
          </w:p>
        </w:tc>
      </w:tr>
      <w:bookmarkEnd w:id="12"/>
    </w:tbl>
    <w:p w14:paraId="1BD1F9F2" w14:textId="3064659B" w:rsidR="00574C09" w:rsidRPr="00DE171C" w:rsidRDefault="00574C09" w:rsidP="00574C09">
      <w:pPr>
        <w:spacing w:line="240" w:lineRule="auto"/>
        <w:rPr>
          <w:rFonts w:ascii="Arial" w:hAnsi="Arial" w:cs="Times New Roman"/>
          <w:sz w:val="20"/>
          <w:szCs w:val="20"/>
          <w:lang w:val="en-US"/>
        </w:rPr>
      </w:pPr>
    </w:p>
    <w:sectPr w:rsidR="00574C09" w:rsidRPr="00DE171C" w:rsidSect="004502F0">
      <w:headerReference w:type="default" r:id="rId13"/>
      <w:headerReference w:type="first" r:id="rId14"/>
      <w:footerReference w:type="first" r:id="rId15"/>
      <w:pgSz w:w="11906" w:h="16838" w:code="9"/>
      <w:pgMar w:top="562" w:right="1411" w:bottom="1138" w:left="1166" w:header="562" w:footer="2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E94A6" w14:textId="77777777" w:rsidR="00656D72" w:rsidRDefault="00656D72" w:rsidP="003403C0">
      <w:pPr>
        <w:spacing w:line="240" w:lineRule="auto"/>
      </w:pPr>
      <w:r>
        <w:separator/>
      </w:r>
    </w:p>
  </w:endnote>
  <w:endnote w:type="continuationSeparator" w:id="0">
    <w:p w14:paraId="30444753" w14:textId="77777777" w:rsidR="00656D72" w:rsidRDefault="00656D72" w:rsidP="00340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5AF24" w14:textId="1E96C15B" w:rsidR="00AD66F8" w:rsidRDefault="00AD66F8" w:rsidP="003A4209">
    <w:pPr>
      <w:pStyle w:val="Footer"/>
      <w:jc w:val="right"/>
    </w:pPr>
    <w:r>
      <w:fldChar w:fldCharType="begin"/>
    </w:r>
    <w:r>
      <w:instrText xml:space="preserve"> page </w:instrText>
    </w:r>
    <w:r>
      <w:fldChar w:fldCharType="separate"/>
    </w:r>
    <w:r w:rsidR="00853FBE">
      <w:t>1</w:t>
    </w:r>
    <w:r>
      <w:fldChar w:fldCharType="end"/>
    </w:r>
    <w:r>
      <w:t>/</w:t>
    </w:r>
    <w:r>
      <w:rPr>
        <w:noProof w:val="0"/>
      </w:rPr>
      <w:fldChar w:fldCharType="begin"/>
    </w:r>
    <w:r>
      <w:instrText xml:space="preserve"> numpages </w:instrText>
    </w:r>
    <w:r>
      <w:rPr>
        <w:noProof w:val="0"/>
      </w:rPr>
      <w:fldChar w:fldCharType="separate"/>
    </w:r>
    <w:r w:rsidR="00853FBE">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228F3" w14:textId="77777777" w:rsidR="00656D72" w:rsidRDefault="00656D72" w:rsidP="003403C0">
      <w:pPr>
        <w:spacing w:line="240" w:lineRule="auto"/>
      </w:pPr>
      <w:r>
        <w:separator/>
      </w:r>
    </w:p>
  </w:footnote>
  <w:footnote w:type="continuationSeparator" w:id="0">
    <w:p w14:paraId="566821DA" w14:textId="77777777" w:rsidR="00656D72" w:rsidRDefault="00656D72" w:rsidP="003403C0">
      <w:pPr>
        <w:spacing w:line="240" w:lineRule="auto"/>
      </w:pPr>
      <w:r>
        <w:continuationSeparator/>
      </w:r>
    </w:p>
  </w:footnote>
  <w:footnote w:id="1">
    <w:p w14:paraId="5ABEE8D7" w14:textId="309C51A2" w:rsidR="00574C09" w:rsidRDefault="00574C09">
      <w:pPr>
        <w:pStyle w:val="FootnoteText"/>
      </w:pPr>
      <w:r>
        <w:rPr>
          <w:rStyle w:val="FootnoteReference"/>
        </w:rPr>
        <w:footnoteRef/>
      </w:r>
      <w:r>
        <w:t xml:space="preserve"> See paragraph 8 at: </w:t>
      </w:r>
      <w:hyperlink r:id="rId1" w:history="1">
        <w:r>
          <w:rPr>
            <w:rStyle w:val="Hyperlink"/>
          </w:rPr>
          <w:t>https://www.gov.uk/guidance/strategic-environmental-assessment-and-sustainability-appraisal</w:t>
        </w:r>
      </w:hyperlink>
    </w:p>
  </w:footnote>
  <w:footnote w:id="2">
    <w:p w14:paraId="616E8843" w14:textId="22BE4EF7" w:rsidR="00574C09" w:rsidRDefault="00574C09" w:rsidP="00574C09">
      <w:pPr>
        <w:pStyle w:val="FootnoteText"/>
      </w:pPr>
      <w:r>
        <w:rPr>
          <w:rStyle w:val="FootnoteReference"/>
        </w:rPr>
        <w:footnoteRef/>
      </w:r>
      <w:r>
        <w:t xml:space="preserve"> See </w:t>
      </w:r>
      <w:hyperlink r:id="rId2" w:history="1">
        <w:r>
          <w:rPr>
            <w:rStyle w:val="Hyperlink"/>
          </w:rPr>
          <w:t>https://lewisham.gov.uk/myservices/planning/policy/ldf/site-allocations/site-allocations-local-plan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26974" w14:textId="412B4672" w:rsidR="00AD66F8" w:rsidRDefault="00550A9A" w:rsidP="00202AD6">
    <w:pPr>
      <w:pStyle w:val="Header"/>
      <w:rPr>
        <w:lang w:eastAsia="en-GB"/>
      </w:rPr>
    </w:pPr>
    <w:r w:rsidRPr="00DE171C">
      <w:rPr>
        <w:sz w:val="20"/>
        <w:szCs w:val="20"/>
        <w:lang w:eastAsia="en-GB"/>
      </w:rPr>
      <w:drawing>
        <wp:inline distT="0" distB="0" distL="0" distR="0" wp14:anchorId="2A7074A2" wp14:editId="373725F9">
          <wp:extent cx="1343025" cy="200025"/>
          <wp:effectExtent l="0" t="0" r="9525" b="9525"/>
          <wp:docPr id="15" name="Picture 15" descr="aecom_imagineit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com_imagineit_1mm_border_v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14:paraId="343A6426" w14:textId="77777777" w:rsidR="00550A9A" w:rsidRDefault="00550A9A" w:rsidP="00202AD6">
    <w:pPr>
      <w:pStyle w:val="Header"/>
      <w:rPr>
        <w:lang w:eastAsia="en-GB"/>
      </w:rPr>
    </w:pPr>
  </w:p>
  <w:p w14:paraId="54BE9DE3" w14:textId="77777777" w:rsidR="00F17EB9" w:rsidRDefault="00F17EB9" w:rsidP="00202A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0A500" w14:textId="2E79CA73" w:rsidR="00AD66F8" w:rsidRDefault="00AD66F8" w:rsidP="00893287">
    <w:pPr>
      <w:pStyle w:val="Header"/>
      <w:jc w:val="right"/>
    </w:pPr>
  </w:p>
  <w:p w14:paraId="31EEA3BA" w14:textId="77777777" w:rsidR="00F17EB9" w:rsidRDefault="00F17EB9" w:rsidP="0089328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DDAF62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69AB90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9B4F97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7883BB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6D28096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78528F"/>
    <w:multiLevelType w:val="hybridMultilevel"/>
    <w:tmpl w:val="0160FFA2"/>
    <w:lvl w:ilvl="0" w:tplc="D9EE2F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D411C"/>
    <w:multiLevelType w:val="multilevel"/>
    <w:tmpl w:val="736ECABA"/>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color w:val="auto"/>
      </w:rPr>
    </w:lvl>
  </w:abstractNum>
  <w:abstractNum w:abstractNumId="7"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0C374F1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5AD462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8B00A2"/>
    <w:multiLevelType w:val="multilevel"/>
    <w:tmpl w:val="DB3C37A8"/>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607E3"/>
    <w:multiLevelType w:val="hybridMultilevel"/>
    <w:tmpl w:val="459A7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9D2E6B"/>
    <w:multiLevelType w:val="hybridMultilevel"/>
    <w:tmpl w:val="AABC9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4" w15:restartNumberingAfterBreak="0">
    <w:nsid w:val="2C2B291F"/>
    <w:multiLevelType w:val="multilevel"/>
    <w:tmpl w:val="B276C6A2"/>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3A657DCE"/>
    <w:multiLevelType w:val="hybridMultilevel"/>
    <w:tmpl w:val="0234DD9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177F45"/>
    <w:multiLevelType w:val="hybridMultilevel"/>
    <w:tmpl w:val="A5F405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9" w15:restartNumberingAfterBreak="0">
    <w:nsid w:val="487F796B"/>
    <w:multiLevelType w:val="multilevel"/>
    <w:tmpl w:val="8AD23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1549B9"/>
    <w:multiLevelType w:val="multilevel"/>
    <w:tmpl w:val="A4EC5F26"/>
    <w:lvl w:ilvl="0">
      <w:start w:val="1"/>
      <w:numFmt w:val="upperLetter"/>
      <w:suff w:val="space"/>
      <w:lvlText w:val="Appendix %1"/>
      <w:lvlJc w:val="left"/>
      <w:pPr>
        <w:ind w:left="0" w:firstLine="0"/>
      </w:pPr>
      <w:rPr>
        <w:rFonts w:hint="default"/>
      </w:rPr>
    </w:lvl>
    <w:lvl w:ilvl="1">
      <w:start w:val="1"/>
      <w:numFmt w:val="decimal"/>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880F48"/>
    <w:multiLevelType w:val="multilevel"/>
    <w:tmpl w:val="6A40A2D2"/>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2" w15:restartNumberingAfterBreak="0">
    <w:nsid w:val="5A2740DF"/>
    <w:multiLevelType w:val="hybridMultilevel"/>
    <w:tmpl w:val="BC92DC2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BB7A9C"/>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CF5455"/>
    <w:multiLevelType w:val="hybridMultilevel"/>
    <w:tmpl w:val="2236D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9A027C"/>
    <w:multiLevelType w:val="multilevel"/>
    <w:tmpl w:val="8DE8603A"/>
    <w:lvl w:ilvl="0">
      <w:start w:val="1"/>
      <w:numFmt w:val="decimal"/>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425"/>
        </w:tabs>
        <w:ind w:left="851" w:hanging="426"/>
      </w:pPr>
      <w:rPr>
        <w:rFonts w:hint="default"/>
      </w:rPr>
    </w:lvl>
    <w:lvl w:ilvl="2">
      <w:start w:val="1"/>
      <w:numFmt w:val="lowerRoman"/>
      <w:pStyle w:val="ListNumber3"/>
      <w:lvlText w:val="%3."/>
      <w:lvlJc w:val="left"/>
      <w:pPr>
        <w:tabs>
          <w:tab w:val="num" w:pos="851"/>
        </w:tabs>
        <w:ind w:left="1276" w:hanging="425"/>
      </w:pPr>
      <w:rPr>
        <w:rFonts w:hint="default"/>
      </w:rPr>
    </w:lvl>
    <w:lvl w:ilvl="3">
      <w:start w:val="1"/>
      <w:numFmt w:val="decimal"/>
      <w:lvlText w:val="%4."/>
      <w:lvlJc w:val="left"/>
      <w:pPr>
        <w:tabs>
          <w:tab w:val="num" w:pos="1431"/>
        </w:tabs>
        <w:ind w:left="425" w:hanging="425"/>
      </w:pPr>
      <w:rPr>
        <w:rFonts w:hint="default"/>
      </w:rPr>
    </w:lvl>
    <w:lvl w:ilvl="4">
      <w:start w:val="1"/>
      <w:numFmt w:val="lowerLetter"/>
      <w:lvlText w:val="%5."/>
      <w:lvlJc w:val="left"/>
      <w:pPr>
        <w:tabs>
          <w:tab w:val="num" w:pos="1788"/>
        </w:tabs>
        <w:ind w:left="425" w:hanging="425"/>
      </w:pPr>
      <w:rPr>
        <w:rFonts w:hint="default"/>
      </w:rPr>
    </w:lvl>
    <w:lvl w:ilvl="5">
      <w:start w:val="1"/>
      <w:numFmt w:val="lowerRoman"/>
      <w:lvlText w:val="%6."/>
      <w:lvlJc w:val="right"/>
      <w:pPr>
        <w:tabs>
          <w:tab w:val="num" w:pos="2145"/>
        </w:tabs>
        <w:ind w:left="425" w:hanging="425"/>
      </w:pPr>
      <w:rPr>
        <w:rFonts w:hint="default"/>
      </w:rPr>
    </w:lvl>
    <w:lvl w:ilvl="6">
      <w:start w:val="1"/>
      <w:numFmt w:val="decimal"/>
      <w:lvlText w:val="%7."/>
      <w:lvlJc w:val="left"/>
      <w:pPr>
        <w:tabs>
          <w:tab w:val="num" w:pos="2502"/>
        </w:tabs>
        <w:ind w:left="425" w:hanging="425"/>
      </w:pPr>
      <w:rPr>
        <w:rFonts w:hint="default"/>
      </w:rPr>
    </w:lvl>
    <w:lvl w:ilvl="7">
      <w:start w:val="1"/>
      <w:numFmt w:val="lowerLetter"/>
      <w:lvlText w:val="%8."/>
      <w:lvlJc w:val="left"/>
      <w:pPr>
        <w:tabs>
          <w:tab w:val="num" w:pos="2859"/>
        </w:tabs>
        <w:ind w:left="425" w:hanging="425"/>
      </w:pPr>
      <w:rPr>
        <w:rFonts w:hint="default"/>
      </w:rPr>
    </w:lvl>
    <w:lvl w:ilvl="8">
      <w:start w:val="1"/>
      <w:numFmt w:val="lowerRoman"/>
      <w:lvlText w:val="%9."/>
      <w:lvlJc w:val="right"/>
      <w:pPr>
        <w:tabs>
          <w:tab w:val="num" w:pos="3216"/>
        </w:tabs>
        <w:ind w:left="425" w:hanging="425"/>
      </w:pPr>
      <w:rPr>
        <w:rFonts w:hint="default"/>
      </w:rPr>
    </w:lvl>
  </w:abstractNum>
  <w:abstractNum w:abstractNumId="26" w15:restartNumberingAfterBreak="0">
    <w:nsid w:val="6ECD7648"/>
    <w:multiLevelType w:val="multilevel"/>
    <w:tmpl w:val="D36EA2EE"/>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FE498B"/>
    <w:multiLevelType w:val="multilevel"/>
    <w:tmpl w:val="E486748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color w:val="auto"/>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color w:val="auto"/>
      </w:rPr>
    </w:lvl>
  </w:abstractNum>
  <w:abstractNum w:abstractNumId="28" w15:restartNumberingAfterBreak="0">
    <w:nsid w:val="775A79B1"/>
    <w:multiLevelType w:val="multilevel"/>
    <w:tmpl w:val="4E92C69C"/>
    <w:name w:val="AECOM Outline numbering"/>
    <w:lvl w:ilvl="0">
      <w:start w:val="1"/>
      <w:numFmt w:val="none"/>
      <w:suff w:val="nothing"/>
      <w:lvlText w:val="%1"/>
      <w:lvlJc w:val="left"/>
      <w:pPr>
        <w:ind w:left="0" w:firstLine="0"/>
      </w:pPr>
      <w:rPr>
        <w:rFonts w:hint="default"/>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4"/>
      <w:lvlJc w:val="left"/>
      <w:pPr>
        <w:ind w:left="0" w:firstLine="0"/>
      </w:pPr>
      <w:rPr>
        <w:rFonts w:hint="default"/>
      </w:rPr>
    </w:lvl>
    <w:lvl w:ilvl="4">
      <w:start w:val="1"/>
      <w:numFmt w:val="none"/>
      <w:lvlRestart w:val="0"/>
      <w:suff w:val="nothing"/>
      <w:lvlText w:val="%5"/>
      <w:lvlJc w:val="left"/>
      <w:pPr>
        <w:ind w:left="0" w:firstLine="0"/>
      </w:pPr>
      <w:rPr>
        <w:rFonts w:hint="default"/>
      </w:rPr>
    </w:lvl>
    <w:lvl w:ilvl="5">
      <w:start w:val="1"/>
      <w:numFmt w:val="none"/>
      <w:lvlRestart w:val="0"/>
      <w:suff w:val="nothing"/>
      <w:lvlText w:val="%6"/>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9" w15:restartNumberingAfterBreak="0">
    <w:nsid w:val="7C5E6485"/>
    <w:multiLevelType w:val="hybridMultilevel"/>
    <w:tmpl w:val="12768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0"/>
  </w:num>
  <w:num w:numId="6">
    <w:abstractNumId w:val="7"/>
  </w:num>
  <w:num w:numId="7">
    <w:abstractNumId w:val="18"/>
  </w:num>
  <w:num w:numId="8">
    <w:abstractNumId w:val="21"/>
  </w:num>
  <w:num w:numId="9">
    <w:abstractNumId w:val="27"/>
  </w:num>
  <w:num w:numId="10">
    <w:abstractNumId w:val="27"/>
  </w:num>
  <w:num w:numId="11">
    <w:abstractNumId w:val="25"/>
  </w:num>
  <w:num w:numId="12">
    <w:abstractNumId w:val="15"/>
  </w:num>
  <w:num w:numId="13">
    <w:abstractNumId w:val="13"/>
  </w:num>
  <w:num w:numId="14">
    <w:abstractNumId w:val="6"/>
  </w:num>
  <w:num w:numId="15">
    <w:abstractNumId w:val="9"/>
  </w:num>
  <w:num w:numId="16">
    <w:abstractNumId w:val="23"/>
  </w:num>
  <w:num w:numId="17">
    <w:abstractNumId w:val="8"/>
  </w:num>
  <w:num w:numId="18">
    <w:abstractNumId w:val="26"/>
  </w:num>
  <w:num w:numId="19">
    <w:abstractNumId w:val="16"/>
    <w:lvlOverride w:ilvl="0"/>
    <w:lvlOverride w:ilvl="1">
      <w:startOverride w:val="1"/>
    </w:lvlOverride>
    <w:lvlOverride w:ilvl="2"/>
    <w:lvlOverride w:ilvl="3"/>
    <w:lvlOverride w:ilvl="4"/>
    <w:lvlOverride w:ilvl="5"/>
    <w:lvlOverride w:ilvl="6"/>
    <w:lvlOverride w:ilvl="7"/>
    <w:lvlOverride w:ilvl="8"/>
  </w:num>
  <w:num w:numId="20">
    <w:abstractNumId w:val="14"/>
  </w:num>
  <w:num w:numId="21">
    <w:abstractNumId w:val="20"/>
  </w:num>
  <w:num w:numId="22">
    <w:abstractNumId w:val="27"/>
  </w:num>
  <w:num w:numId="23">
    <w:abstractNumId w:val="4"/>
  </w:num>
  <w:num w:numId="24">
    <w:abstractNumId w:val="5"/>
  </w:num>
  <w:num w:numId="25">
    <w:abstractNumId w:val="27"/>
  </w:num>
  <w:num w:numId="26">
    <w:abstractNumId w:val="1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7"/>
  </w:num>
  <w:num w:numId="30">
    <w:abstractNumId w:val="27"/>
  </w:num>
  <w:num w:numId="31">
    <w:abstractNumId w:val="1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9"/>
  </w:num>
  <w:num w:numId="3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TextLanguage_ListCount" w:val="0"/>
    <w:docVar w:name="cbTextLanguage_ListIndex" w:val="-1"/>
    <w:docVar w:name="chkSaveFooterDetails" w:val="0"/>
    <w:docVar w:name="chkSaveOfficeAddress" w:val="0"/>
    <w:docVar w:name="opt1column" w:val="-1"/>
    <w:docVar w:name="opt2column" w:val="0"/>
    <w:docVar w:name="opt3column" w:val="0"/>
    <w:docVar w:name="optA3Landscape" w:val="0"/>
    <w:docVar w:name="optA4Landscape" w:val="0"/>
    <w:docVar w:name="optA4Portrait" w:val="-1"/>
    <w:docVar w:name="optChangeFontAECOMSans" w:val="0"/>
    <w:docVar w:name="optChangeFontArial" w:val="-1"/>
    <w:docVar w:name="optFont10" w:val="0"/>
    <w:docVar w:name="optFont11" w:val="0"/>
    <w:docVar w:name="optFont12" w:val="0"/>
    <w:docVar w:name="optFont9" w:val="-1"/>
    <w:docVar w:name="optHeading1Font18" w:val="0"/>
    <w:docVar w:name="optHeading1Font21" w:val="0"/>
    <w:docVar w:name="optHeading1Font24" w:val="-1"/>
    <w:docVar w:name="optLogo" w:val="-1"/>
    <w:docVar w:name="optNoLogo" w:val="0"/>
    <w:docVar w:name="optNumberedHeadings" w:val="0"/>
    <w:docVar w:name="optNumberedHeadingsParagraphs" w:val="0"/>
    <w:docVar w:name="optUnNumberedHeadings" w:val="-1"/>
    <w:docVar w:name="optUSLetterLandscape" w:val="0"/>
    <w:docVar w:name="optUSLetterPortrait" w:val="0"/>
    <w:docVar w:name="RERUN" w:val="1"/>
    <w:docVar w:name="SelectedCountry" w:val="1"/>
    <w:docVar w:name="SelectedEntity" w:val="0"/>
    <w:docVar w:name="SelectedGeo" w:val="2"/>
    <w:docVar w:name="SelectedLanguage" w:val="0"/>
    <w:docVar w:name="SelectedOffice" w:val="16"/>
    <w:docVar w:name="SelectedPageLayout" w:val="3"/>
    <w:docVar w:name="SelectedRegion" w:val="4"/>
    <w:docVar w:name="tbDate" w:val="10 July 2019"/>
    <w:docVar w:name="tbFooterDetails" w:val="AECOM Infrastructure &amp; Environment UK Limited registered in England &amp; Wales, company number 1846493._x000d__x000a_Scott House, Alencon Link, Basingstoke, Hampshire RG21 7PP"/>
    <w:docVar w:name="tbOfficeAddress" w:val="AECOM Infrastructure &amp; Environment UK Limited_x000d__x000a_Sunley House_x000d__x000a_4 Bedford Park, Surrey_x000d__x000a_Croydon CRO 2AP_x000d__x000a_United Kingdom_x000d__x000a__x000d__x000a_T: +44 20 8639 3500_x000d__x000a_aecom.com"/>
    <w:docVar w:name="TranslateChart" w:val="Chart"/>
    <w:docVar w:name="TranslateFigure" w:val="Figure"/>
    <w:docVar w:name="TranslateTable" w:val="Table"/>
  </w:docVars>
  <w:rsids>
    <w:rsidRoot w:val="002C14B3"/>
    <w:rsid w:val="0000567F"/>
    <w:rsid w:val="00020071"/>
    <w:rsid w:val="00023BF4"/>
    <w:rsid w:val="00024603"/>
    <w:rsid w:val="00026F9A"/>
    <w:rsid w:val="000309AF"/>
    <w:rsid w:val="000312F1"/>
    <w:rsid w:val="00034E38"/>
    <w:rsid w:val="0004006A"/>
    <w:rsid w:val="00040798"/>
    <w:rsid w:val="00054F7D"/>
    <w:rsid w:val="00067163"/>
    <w:rsid w:val="00074364"/>
    <w:rsid w:val="000745A4"/>
    <w:rsid w:val="00082594"/>
    <w:rsid w:val="00096A50"/>
    <w:rsid w:val="000C4893"/>
    <w:rsid w:val="000C5B15"/>
    <w:rsid w:val="000D0060"/>
    <w:rsid w:val="000D0F8F"/>
    <w:rsid w:val="000D3142"/>
    <w:rsid w:val="000D4D55"/>
    <w:rsid w:val="000D6120"/>
    <w:rsid w:val="000E0528"/>
    <w:rsid w:val="000E1A23"/>
    <w:rsid w:val="000E5190"/>
    <w:rsid w:val="000F37AA"/>
    <w:rsid w:val="000F5336"/>
    <w:rsid w:val="001001C3"/>
    <w:rsid w:val="00105845"/>
    <w:rsid w:val="00111433"/>
    <w:rsid w:val="0011652E"/>
    <w:rsid w:val="00124D13"/>
    <w:rsid w:val="00132010"/>
    <w:rsid w:val="0013603A"/>
    <w:rsid w:val="0013694B"/>
    <w:rsid w:val="00142FA6"/>
    <w:rsid w:val="00143DEE"/>
    <w:rsid w:val="00145502"/>
    <w:rsid w:val="001506BD"/>
    <w:rsid w:val="00156629"/>
    <w:rsid w:val="00161E98"/>
    <w:rsid w:val="001725E0"/>
    <w:rsid w:val="00181A17"/>
    <w:rsid w:val="00186702"/>
    <w:rsid w:val="0019580A"/>
    <w:rsid w:val="001963B9"/>
    <w:rsid w:val="001A23D4"/>
    <w:rsid w:val="001A5319"/>
    <w:rsid w:val="001A65F8"/>
    <w:rsid w:val="001A7752"/>
    <w:rsid w:val="001B14A6"/>
    <w:rsid w:val="001B7CF7"/>
    <w:rsid w:val="001C53FB"/>
    <w:rsid w:val="001D2B8E"/>
    <w:rsid w:val="001E0ECF"/>
    <w:rsid w:val="001F11A1"/>
    <w:rsid w:val="001F1B8B"/>
    <w:rsid w:val="001F1CDE"/>
    <w:rsid w:val="001F35B5"/>
    <w:rsid w:val="00202539"/>
    <w:rsid w:val="00202AD6"/>
    <w:rsid w:val="002036BF"/>
    <w:rsid w:val="002038A7"/>
    <w:rsid w:val="00204571"/>
    <w:rsid w:val="00207666"/>
    <w:rsid w:val="00233E62"/>
    <w:rsid w:val="00234926"/>
    <w:rsid w:val="0024744B"/>
    <w:rsid w:val="00255091"/>
    <w:rsid w:val="00262FD9"/>
    <w:rsid w:val="0026441B"/>
    <w:rsid w:val="0026762A"/>
    <w:rsid w:val="00267DB2"/>
    <w:rsid w:val="00270D35"/>
    <w:rsid w:val="00274258"/>
    <w:rsid w:val="0027630F"/>
    <w:rsid w:val="00281F0A"/>
    <w:rsid w:val="00283E74"/>
    <w:rsid w:val="00285A26"/>
    <w:rsid w:val="002863BC"/>
    <w:rsid w:val="0029298D"/>
    <w:rsid w:val="002A281B"/>
    <w:rsid w:val="002A31BE"/>
    <w:rsid w:val="002A7318"/>
    <w:rsid w:val="002B5DEB"/>
    <w:rsid w:val="002C02C3"/>
    <w:rsid w:val="002C0F19"/>
    <w:rsid w:val="002C14B3"/>
    <w:rsid w:val="002C6605"/>
    <w:rsid w:val="002C6D7D"/>
    <w:rsid w:val="002C7F56"/>
    <w:rsid w:val="002D2F92"/>
    <w:rsid w:val="002D642D"/>
    <w:rsid w:val="002E0E2F"/>
    <w:rsid w:val="002F20E5"/>
    <w:rsid w:val="00307F8A"/>
    <w:rsid w:val="00311EEC"/>
    <w:rsid w:val="0031400D"/>
    <w:rsid w:val="00315D0A"/>
    <w:rsid w:val="00317C38"/>
    <w:rsid w:val="003217DC"/>
    <w:rsid w:val="0032736F"/>
    <w:rsid w:val="00337BDC"/>
    <w:rsid w:val="003403C0"/>
    <w:rsid w:val="00344152"/>
    <w:rsid w:val="00345026"/>
    <w:rsid w:val="00345D5E"/>
    <w:rsid w:val="00346DF8"/>
    <w:rsid w:val="00351988"/>
    <w:rsid w:val="003534D2"/>
    <w:rsid w:val="0035382A"/>
    <w:rsid w:val="00363F46"/>
    <w:rsid w:val="00365C1D"/>
    <w:rsid w:val="00386B20"/>
    <w:rsid w:val="00391789"/>
    <w:rsid w:val="003A27DB"/>
    <w:rsid w:val="003A4209"/>
    <w:rsid w:val="003B1B23"/>
    <w:rsid w:val="003B1B4E"/>
    <w:rsid w:val="003B35B2"/>
    <w:rsid w:val="003D1914"/>
    <w:rsid w:val="003E2482"/>
    <w:rsid w:val="003E2BDE"/>
    <w:rsid w:val="003F20AB"/>
    <w:rsid w:val="0040079B"/>
    <w:rsid w:val="00404BE5"/>
    <w:rsid w:val="004064DE"/>
    <w:rsid w:val="0041043A"/>
    <w:rsid w:val="00413648"/>
    <w:rsid w:val="00414366"/>
    <w:rsid w:val="0041553D"/>
    <w:rsid w:val="004215B0"/>
    <w:rsid w:val="00423AF9"/>
    <w:rsid w:val="00425936"/>
    <w:rsid w:val="0042621D"/>
    <w:rsid w:val="0042749D"/>
    <w:rsid w:val="004347EA"/>
    <w:rsid w:val="0044096C"/>
    <w:rsid w:val="00442E3A"/>
    <w:rsid w:val="00447AC0"/>
    <w:rsid w:val="004502F0"/>
    <w:rsid w:val="00452247"/>
    <w:rsid w:val="0046154C"/>
    <w:rsid w:val="00464BC1"/>
    <w:rsid w:val="00467039"/>
    <w:rsid w:val="00471594"/>
    <w:rsid w:val="0047335D"/>
    <w:rsid w:val="0047418F"/>
    <w:rsid w:val="00475D90"/>
    <w:rsid w:val="004818D8"/>
    <w:rsid w:val="00482691"/>
    <w:rsid w:val="00483E82"/>
    <w:rsid w:val="00486740"/>
    <w:rsid w:val="00492DB2"/>
    <w:rsid w:val="004A01F1"/>
    <w:rsid w:val="004A43AD"/>
    <w:rsid w:val="004A76B3"/>
    <w:rsid w:val="004B4874"/>
    <w:rsid w:val="004C0257"/>
    <w:rsid w:val="004D26AC"/>
    <w:rsid w:val="004D4A35"/>
    <w:rsid w:val="004D5E68"/>
    <w:rsid w:val="004E26C7"/>
    <w:rsid w:val="005025C1"/>
    <w:rsid w:val="00503490"/>
    <w:rsid w:val="00506652"/>
    <w:rsid w:val="005102A3"/>
    <w:rsid w:val="00513811"/>
    <w:rsid w:val="0051614D"/>
    <w:rsid w:val="00530D54"/>
    <w:rsid w:val="00540443"/>
    <w:rsid w:val="005450F6"/>
    <w:rsid w:val="00550A9A"/>
    <w:rsid w:val="00551E20"/>
    <w:rsid w:val="005534AE"/>
    <w:rsid w:val="0055690D"/>
    <w:rsid w:val="005606E1"/>
    <w:rsid w:val="00562E0E"/>
    <w:rsid w:val="0056355D"/>
    <w:rsid w:val="00563D3B"/>
    <w:rsid w:val="00567B50"/>
    <w:rsid w:val="00574C09"/>
    <w:rsid w:val="0058404D"/>
    <w:rsid w:val="00591C1A"/>
    <w:rsid w:val="0059393E"/>
    <w:rsid w:val="005A5EF7"/>
    <w:rsid w:val="005B3E9A"/>
    <w:rsid w:val="005C1C18"/>
    <w:rsid w:val="005C26C4"/>
    <w:rsid w:val="005D2C1B"/>
    <w:rsid w:val="005E08F2"/>
    <w:rsid w:val="005E0C3E"/>
    <w:rsid w:val="005E137C"/>
    <w:rsid w:val="005F38A8"/>
    <w:rsid w:val="005F7352"/>
    <w:rsid w:val="00612E67"/>
    <w:rsid w:val="006150B3"/>
    <w:rsid w:val="00623BF6"/>
    <w:rsid w:val="00632163"/>
    <w:rsid w:val="006368DA"/>
    <w:rsid w:val="00640C70"/>
    <w:rsid w:val="0064142A"/>
    <w:rsid w:val="00643EA1"/>
    <w:rsid w:val="00655083"/>
    <w:rsid w:val="0065674E"/>
    <w:rsid w:val="00656D72"/>
    <w:rsid w:val="006614E9"/>
    <w:rsid w:val="0066212D"/>
    <w:rsid w:val="0066405C"/>
    <w:rsid w:val="00664C90"/>
    <w:rsid w:val="00673BFD"/>
    <w:rsid w:val="006767AC"/>
    <w:rsid w:val="00677A16"/>
    <w:rsid w:val="00677CD1"/>
    <w:rsid w:val="00677D47"/>
    <w:rsid w:val="006A384F"/>
    <w:rsid w:val="006A4118"/>
    <w:rsid w:val="006A415E"/>
    <w:rsid w:val="006A5D84"/>
    <w:rsid w:val="006C050D"/>
    <w:rsid w:val="006C2F65"/>
    <w:rsid w:val="006D0CE6"/>
    <w:rsid w:val="006D2860"/>
    <w:rsid w:val="006D7974"/>
    <w:rsid w:val="006E0634"/>
    <w:rsid w:val="006E3F42"/>
    <w:rsid w:val="006E71D3"/>
    <w:rsid w:val="006F17D5"/>
    <w:rsid w:val="006F4B6B"/>
    <w:rsid w:val="00701FF6"/>
    <w:rsid w:val="007046F3"/>
    <w:rsid w:val="00704B5D"/>
    <w:rsid w:val="0071051B"/>
    <w:rsid w:val="00721761"/>
    <w:rsid w:val="00722C4F"/>
    <w:rsid w:val="007259D2"/>
    <w:rsid w:val="00743816"/>
    <w:rsid w:val="00750BB2"/>
    <w:rsid w:val="00754F03"/>
    <w:rsid w:val="00767FC6"/>
    <w:rsid w:val="00775B25"/>
    <w:rsid w:val="00781C96"/>
    <w:rsid w:val="0079686A"/>
    <w:rsid w:val="00797212"/>
    <w:rsid w:val="007A2963"/>
    <w:rsid w:val="007A2F66"/>
    <w:rsid w:val="007A73FE"/>
    <w:rsid w:val="007C357F"/>
    <w:rsid w:val="007C5551"/>
    <w:rsid w:val="007C68B0"/>
    <w:rsid w:val="007D071D"/>
    <w:rsid w:val="007D469E"/>
    <w:rsid w:val="007D4DB3"/>
    <w:rsid w:val="007E5784"/>
    <w:rsid w:val="00801FB4"/>
    <w:rsid w:val="008031BC"/>
    <w:rsid w:val="00806B1F"/>
    <w:rsid w:val="00812135"/>
    <w:rsid w:val="008150E0"/>
    <w:rsid w:val="008166DF"/>
    <w:rsid w:val="00820425"/>
    <w:rsid w:val="008206F9"/>
    <w:rsid w:val="00823930"/>
    <w:rsid w:val="00823DBD"/>
    <w:rsid w:val="008345BE"/>
    <w:rsid w:val="00837D9F"/>
    <w:rsid w:val="008413D9"/>
    <w:rsid w:val="0085112F"/>
    <w:rsid w:val="00853FBE"/>
    <w:rsid w:val="008703ED"/>
    <w:rsid w:val="008818C1"/>
    <w:rsid w:val="00885EF9"/>
    <w:rsid w:val="008928E6"/>
    <w:rsid w:val="00893287"/>
    <w:rsid w:val="008A2670"/>
    <w:rsid w:val="008A2FE6"/>
    <w:rsid w:val="008B5284"/>
    <w:rsid w:val="008C5490"/>
    <w:rsid w:val="008D5C5A"/>
    <w:rsid w:val="008D63C8"/>
    <w:rsid w:val="008E31E8"/>
    <w:rsid w:val="008E3465"/>
    <w:rsid w:val="008E3472"/>
    <w:rsid w:val="008E50C1"/>
    <w:rsid w:val="008E5ED0"/>
    <w:rsid w:val="008E67CF"/>
    <w:rsid w:val="008F637D"/>
    <w:rsid w:val="008F7163"/>
    <w:rsid w:val="0090575B"/>
    <w:rsid w:val="00920018"/>
    <w:rsid w:val="00920C39"/>
    <w:rsid w:val="009211A7"/>
    <w:rsid w:val="009246C5"/>
    <w:rsid w:val="00926705"/>
    <w:rsid w:val="00937536"/>
    <w:rsid w:val="00941161"/>
    <w:rsid w:val="009449E1"/>
    <w:rsid w:val="009454EA"/>
    <w:rsid w:val="009501FF"/>
    <w:rsid w:val="00951018"/>
    <w:rsid w:val="009526BF"/>
    <w:rsid w:val="00952FFD"/>
    <w:rsid w:val="00953E78"/>
    <w:rsid w:val="0095424A"/>
    <w:rsid w:val="00956F3B"/>
    <w:rsid w:val="009571A2"/>
    <w:rsid w:val="0095773C"/>
    <w:rsid w:val="00957B84"/>
    <w:rsid w:val="0096268A"/>
    <w:rsid w:val="0096337D"/>
    <w:rsid w:val="009654BF"/>
    <w:rsid w:val="00966772"/>
    <w:rsid w:val="00966996"/>
    <w:rsid w:val="00971C82"/>
    <w:rsid w:val="00974F3D"/>
    <w:rsid w:val="00981D52"/>
    <w:rsid w:val="00993752"/>
    <w:rsid w:val="009A6128"/>
    <w:rsid w:val="009B457A"/>
    <w:rsid w:val="009B5499"/>
    <w:rsid w:val="009B7456"/>
    <w:rsid w:val="009C1910"/>
    <w:rsid w:val="009D6C22"/>
    <w:rsid w:val="009E0B73"/>
    <w:rsid w:val="009E5D52"/>
    <w:rsid w:val="009F5546"/>
    <w:rsid w:val="00A0473B"/>
    <w:rsid w:val="00A17FA2"/>
    <w:rsid w:val="00A24AE1"/>
    <w:rsid w:val="00A313EC"/>
    <w:rsid w:val="00A4152A"/>
    <w:rsid w:val="00A45658"/>
    <w:rsid w:val="00A5316D"/>
    <w:rsid w:val="00A55B0C"/>
    <w:rsid w:val="00A57E19"/>
    <w:rsid w:val="00A61C0E"/>
    <w:rsid w:val="00A70FAE"/>
    <w:rsid w:val="00A85347"/>
    <w:rsid w:val="00A90BF3"/>
    <w:rsid w:val="00A94ED2"/>
    <w:rsid w:val="00AA0ACD"/>
    <w:rsid w:val="00AA16A9"/>
    <w:rsid w:val="00AA2A72"/>
    <w:rsid w:val="00AA628D"/>
    <w:rsid w:val="00AA6D47"/>
    <w:rsid w:val="00AB0054"/>
    <w:rsid w:val="00AB1B56"/>
    <w:rsid w:val="00AB5547"/>
    <w:rsid w:val="00AB5D84"/>
    <w:rsid w:val="00AC145E"/>
    <w:rsid w:val="00AC2164"/>
    <w:rsid w:val="00AD07B2"/>
    <w:rsid w:val="00AD42B7"/>
    <w:rsid w:val="00AD66F8"/>
    <w:rsid w:val="00AD70D8"/>
    <w:rsid w:val="00AE433A"/>
    <w:rsid w:val="00AE5754"/>
    <w:rsid w:val="00AF3120"/>
    <w:rsid w:val="00B01BEF"/>
    <w:rsid w:val="00B01F03"/>
    <w:rsid w:val="00B110E9"/>
    <w:rsid w:val="00B11250"/>
    <w:rsid w:val="00B2027D"/>
    <w:rsid w:val="00B31A21"/>
    <w:rsid w:val="00B41F5A"/>
    <w:rsid w:val="00B435FD"/>
    <w:rsid w:val="00B456D4"/>
    <w:rsid w:val="00B617A7"/>
    <w:rsid w:val="00B6257C"/>
    <w:rsid w:val="00B649A7"/>
    <w:rsid w:val="00B65E83"/>
    <w:rsid w:val="00B912DB"/>
    <w:rsid w:val="00B91F05"/>
    <w:rsid w:val="00B95BA6"/>
    <w:rsid w:val="00BA252E"/>
    <w:rsid w:val="00BA273E"/>
    <w:rsid w:val="00BB2B5F"/>
    <w:rsid w:val="00BC0BB2"/>
    <w:rsid w:val="00BC34A9"/>
    <w:rsid w:val="00BC5748"/>
    <w:rsid w:val="00BC66B6"/>
    <w:rsid w:val="00BD231D"/>
    <w:rsid w:val="00BE1245"/>
    <w:rsid w:val="00BE17D5"/>
    <w:rsid w:val="00BE2263"/>
    <w:rsid w:val="00BE4832"/>
    <w:rsid w:val="00BF0BDA"/>
    <w:rsid w:val="00C0410F"/>
    <w:rsid w:val="00C141A4"/>
    <w:rsid w:val="00C17628"/>
    <w:rsid w:val="00C178BC"/>
    <w:rsid w:val="00C32B47"/>
    <w:rsid w:val="00C36C98"/>
    <w:rsid w:val="00C405F8"/>
    <w:rsid w:val="00C51974"/>
    <w:rsid w:val="00C540F6"/>
    <w:rsid w:val="00C6113D"/>
    <w:rsid w:val="00C62ABA"/>
    <w:rsid w:val="00C64823"/>
    <w:rsid w:val="00C6699F"/>
    <w:rsid w:val="00C67ACB"/>
    <w:rsid w:val="00C72CBA"/>
    <w:rsid w:val="00C75787"/>
    <w:rsid w:val="00C7797D"/>
    <w:rsid w:val="00C81916"/>
    <w:rsid w:val="00C83B82"/>
    <w:rsid w:val="00C86F08"/>
    <w:rsid w:val="00C91E1A"/>
    <w:rsid w:val="00C95768"/>
    <w:rsid w:val="00CA04DC"/>
    <w:rsid w:val="00CA7815"/>
    <w:rsid w:val="00CB063C"/>
    <w:rsid w:val="00CB2507"/>
    <w:rsid w:val="00CB5278"/>
    <w:rsid w:val="00CC0513"/>
    <w:rsid w:val="00CC0B1D"/>
    <w:rsid w:val="00CC224C"/>
    <w:rsid w:val="00CC4E84"/>
    <w:rsid w:val="00CD0845"/>
    <w:rsid w:val="00CD6C70"/>
    <w:rsid w:val="00CE0972"/>
    <w:rsid w:val="00CF595D"/>
    <w:rsid w:val="00D016D8"/>
    <w:rsid w:val="00D0365D"/>
    <w:rsid w:val="00D127BC"/>
    <w:rsid w:val="00D312DA"/>
    <w:rsid w:val="00D40DEF"/>
    <w:rsid w:val="00D43D9F"/>
    <w:rsid w:val="00D56AAA"/>
    <w:rsid w:val="00D60352"/>
    <w:rsid w:val="00D6402C"/>
    <w:rsid w:val="00D72D01"/>
    <w:rsid w:val="00D744C7"/>
    <w:rsid w:val="00D84F2E"/>
    <w:rsid w:val="00D86501"/>
    <w:rsid w:val="00D8696D"/>
    <w:rsid w:val="00D87187"/>
    <w:rsid w:val="00D8735B"/>
    <w:rsid w:val="00D915A4"/>
    <w:rsid w:val="00DA1185"/>
    <w:rsid w:val="00DA5AB2"/>
    <w:rsid w:val="00DA65A2"/>
    <w:rsid w:val="00DA74E0"/>
    <w:rsid w:val="00DB161A"/>
    <w:rsid w:val="00DB3B7B"/>
    <w:rsid w:val="00DB564C"/>
    <w:rsid w:val="00DD07FB"/>
    <w:rsid w:val="00DD2226"/>
    <w:rsid w:val="00DD2614"/>
    <w:rsid w:val="00DD6840"/>
    <w:rsid w:val="00DD688A"/>
    <w:rsid w:val="00DE171C"/>
    <w:rsid w:val="00DF5FB9"/>
    <w:rsid w:val="00E052DC"/>
    <w:rsid w:val="00E075E9"/>
    <w:rsid w:val="00E12F01"/>
    <w:rsid w:val="00E15272"/>
    <w:rsid w:val="00E17B4C"/>
    <w:rsid w:val="00E20262"/>
    <w:rsid w:val="00E245F8"/>
    <w:rsid w:val="00E25B7B"/>
    <w:rsid w:val="00E26FDE"/>
    <w:rsid w:val="00E31043"/>
    <w:rsid w:val="00E32172"/>
    <w:rsid w:val="00E36E2A"/>
    <w:rsid w:val="00E40194"/>
    <w:rsid w:val="00E416F0"/>
    <w:rsid w:val="00E41E6D"/>
    <w:rsid w:val="00E4500C"/>
    <w:rsid w:val="00E4527E"/>
    <w:rsid w:val="00E57153"/>
    <w:rsid w:val="00E65222"/>
    <w:rsid w:val="00E76CF2"/>
    <w:rsid w:val="00E81F63"/>
    <w:rsid w:val="00E867A1"/>
    <w:rsid w:val="00E91D9D"/>
    <w:rsid w:val="00E965F0"/>
    <w:rsid w:val="00E976D1"/>
    <w:rsid w:val="00EA12A1"/>
    <w:rsid w:val="00EB2564"/>
    <w:rsid w:val="00EB4B7F"/>
    <w:rsid w:val="00EC4107"/>
    <w:rsid w:val="00ED0997"/>
    <w:rsid w:val="00EE5B75"/>
    <w:rsid w:val="00EE6B02"/>
    <w:rsid w:val="00EF356A"/>
    <w:rsid w:val="00EF60DB"/>
    <w:rsid w:val="00EF7F8D"/>
    <w:rsid w:val="00F051A7"/>
    <w:rsid w:val="00F05530"/>
    <w:rsid w:val="00F0692F"/>
    <w:rsid w:val="00F131B9"/>
    <w:rsid w:val="00F14923"/>
    <w:rsid w:val="00F15DCC"/>
    <w:rsid w:val="00F17EB9"/>
    <w:rsid w:val="00F22041"/>
    <w:rsid w:val="00F278B1"/>
    <w:rsid w:val="00F316D4"/>
    <w:rsid w:val="00F3207C"/>
    <w:rsid w:val="00F32FB6"/>
    <w:rsid w:val="00F41BB9"/>
    <w:rsid w:val="00F50090"/>
    <w:rsid w:val="00F5797D"/>
    <w:rsid w:val="00F72343"/>
    <w:rsid w:val="00F73073"/>
    <w:rsid w:val="00F84928"/>
    <w:rsid w:val="00F86DC8"/>
    <w:rsid w:val="00F87F05"/>
    <w:rsid w:val="00F93872"/>
    <w:rsid w:val="00F94EAA"/>
    <w:rsid w:val="00F95697"/>
    <w:rsid w:val="00FA0808"/>
    <w:rsid w:val="00FA197E"/>
    <w:rsid w:val="00FA31D6"/>
    <w:rsid w:val="00FA68EB"/>
    <w:rsid w:val="00FB5F7D"/>
    <w:rsid w:val="00FB79FF"/>
    <w:rsid w:val="00FD047A"/>
    <w:rsid w:val="00FD34F6"/>
    <w:rsid w:val="00FD47E8"/>
    <w:rsid w:val="00FD5E48"/>
    <w:rsid w:val="00FF2DA8"/>
    <w:rsid w:val="00FF6B4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2EB627"/>
  <w15:docId w15:val="{D929E43C-12C1-4356-A2DE-60F0ADCB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3" w:qFormat="1"/>
    <w:lsdException w:name="heading 3" w:semiHidden="1" w:uiPriority="4" w:qFormat="1"/>
    <w:lsdException w:name="heading 4" w:semiHidden="1" w:uiPriority="5"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qFormat="1"/>
    <w:lsdException w:name="List Number" w:semiHidden="1"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qFormat="1"/>
    <w:lsdException w:name="List Bullet 3" w:semiHidden="1" w:uiPriority="9" w:qFormat="1"/>
    <w:lsdException w:name="List Bullet 4" w:semiHidden="1" w:unhideWhenUsed="1"/>
    <w:lsdException w:name="List Bullet 5" w:semiHidden="1" w:unhideWhenUsed="1"/>
    <w:lsdException w:name="List Number 2" w:semiHidden="1" w:uiPriority="12" w:qFormat="1"/>
    <w:lsdException w:name="List Number 3" w:semiHidden="1" w:uiPriority="13"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6" w:qFormat="1"/>
    <w:lsdException w:name="FollowedHyperlink" w:semiHidden="1" w:uiPriority="27"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1245"/>
    <w:pPr>
      <w:spacing w:line="240" w:lineRule="atLeast"/>
    </w:pPr>
    <w:rPr>
      <w:kern w:val="18"/>
    </w:rPr>
  </w:style>
  <w:style w:type="paragraph" w:styleId="Heading1">
    <w:name w:val="heading 1"/>
    <w:basedOn w:val="Normal"/>
    <w:next w:val="BodyText"/>
    <w:link w:val="Heading1Char"/>
    <w:uiPriority w:val="2"/>
    <w:qFormat/>
    <w:rsid w:val="00E57153"/>
    <w:pPr>
      <w:keepNext/>
      <w:keepLines/>
      <w:pBdr>
        <w:top w:val="single" w:sz="12" w:space="4" w:color="00B5E2" w:themeColor="accent1"/>
        <w:bottom w:val="single" w:sz="4" w:space="6" w:color="00B5E2" w:themeColor="accent1"/>
      </w:pBdr>
      <w:spacing w:before="480" w:after="240" w:line="540" w:lineRule="atLeast"/>
      <w:outlineLvl w:val="0"/>
    </w:pPr>
    <w:rPr>
      <w:rFonts w:asciiTheme="majorHAnsi" w:eastAsiaTheme="majorEastAsia" w:hAnsiTheme="majorHAnsi" w:cstheme="majorBidi"/>
      <w:b/>
      <w:bCs/>
      <w:color w:val="00B5E2" w:themeColor="accent1"/>
      <w:sz w:val="48"/>
      <w:szCs w:val="28"/>
    </w:rPr>
  </w:style>
  <w:style w:type="paragraph" w:styleId="Heading2">
    <w:name w:val="heading 2"/>
    <w:basedOn w:val="Normal"/>
    <w:next w:val="BodyText"/>
    <w:link w:val="Heading2Char"/>
    <w:uiPriority w:val="3"/>
    <w:qFormat/>
    <w:rsid w:val="002C14B3"/>
    <w:pPr>
      <w:keepNext/>
      <w:keepLines/>
      <w:numPr>
        <w:numId w:val="18"/>
      </w:numPr>
      <w:spacing w:before="240" w:after="120" w:line="420" w:lineRule="atLeast"/>
      <w:outlineLvl w:val="1"/>
    </w:pPr>
    <w:rPr>
      <w:rFonts w:asciiTheme="majorHAnsi" w:eastAsiaTheme="majorEastAsia" w:hAnsiTheme="majorHAnsi" w:cstheme="majorBidi"/>
      <w:b/>
      <w:bCs/>
      <w:color w:val="00B5E2" w:themeColor="accent1"/>
      <w:sz w:val="24"/>
      <w:szCs w:val="24"/>
    </w:rPr>
  </w:style>
  <w:style w:type="paragraph" w:styleId="Heading3">
    <w:name w:val="heading 3"/>
    <w:basedOn w:val="Normal"/>
    <w:next w:val="BodyText"/>
    <w:link w:val="Heading3Char"/>
    <w:uiPriority w:val="4"/>
    <w:qFormat/>
    <w:rsid w:val="002C14B3"/>
    <w:pPr>
      <w:keepNext/>
      <w:keepLines/>
      <w:numPr>
        <w:ilvl w:val="1"/>
        <w:numId w:val="20"/>
      </w:numPr>
      <w:spacing w:before="240" w:after="120" w:line="360" w:lineRule="atLeast"/>
      <w:ind w:left="450"/>
      <w:outlineLvl w:val="2"/>
    </w:pPr>
    <w:rPr>
      <w:rFonts w:asciiTheme="majorHAnsi" w:eastAsiaTheme="majorEastAsia" w:hAnsiTheme="majorHAnsi" w:cstheme="majorBidi"/>
      <w:bCs/>
      <w:color w:val="00B5E2" w:themeColor="accent1"/>
      <w:sz w:val="22"/>
      <w:szCs w:val="24"/>
    </w:rPr>
  </w:style>
  <w:style w:type="paragraph" w:styleId="Heading4">
    <w:name w:val="heading 4"/>
    <w:basedOn w:val="Normal"/>
    <w:next w:val="BodyText"/>
    <w:link w:val="Heading4Char"/>
    <w:uiPriority w:val="5"/>
    <w:qFormat/>
    <w:rsid w:val="008F637D"/>
    <w:pPr>
      <w:keepNext/>
      <w:keepLines/>
      <w:spacing w:before="180" w:after="60" w:line="300" w:lineRule="atLeast"/>
      <w:outlineLvl w:val="3"/>
    </w:pPr>
    <w:rPr>
      <w:rFonts w:asciiTheme="majorHAnsi" w:eastAsiaTheme="majorEastAsia" w:hAnsiTheme="majorHAnsi" w:cstheme="majorBidi"/>
      <w:b/>
      <w:bCs/>
      <w:iCs/>
      <w:sz w:val="30"/>
    </w:rPr>
  </w:style>
  <w:style w:type="paragraph" w:styleId="Heading5">
    <w:name w:val="heading 5"/>
    <w:basedOn w:val="Normal"/>
    <w:next w:val="BodyText"/>
    <w:link w:val="Heading5Char"/>
    <w:uiPriority w:val="9"/>
    <w:semiHidden/>
    <w:unhideWhenUsed/>
    <w:rsid w:val="008F637D"/>
    <w:pPr>
      <w:keepNext/>
      <w:keepLines/>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8F637D"/>
    <w:pPr>
      <w:keepNext/>
      <w:keepLines/>
      <w:spacing w:before="200"/>
      <w:outlineLvl w:val="5"/>
    </w:pPr>
    <w:rPr>
      <w:rFonts w:asciiTheme="majorHAnsi" w:eastAsiaTheme="majorEastAsia" w:hAnsiTheme="majorHAnsi" w:cstheme="majorBidi"/>
      <w:b/>
      <w:iCs/>
    </w:rPr>
  </w:style>
  <w:style w:type="paragraph" w:styleId="Heading7">
    <w:name w:val="heading 7"/>
    <w:basedOn w:val="Normal"/>
    <w:next w:val="Normal"/>
    <w:link w:val="Heading7Char"/>
    <w:uiPriority w:val="9"/>
    <w:semiHidden/>
    <w:unhideWhenUsed/>
    <w:rsid w:val="008F637D"/>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8F637D"/>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8F637D"/>
    <w:pPr>
      <w:keepNext/>
      <w:keepLines/>
      <w:spacing w:before="20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E57153"/>
    <w:rPr>
      <w:rFonts w:asciiTheme="majorHAnsi" w:eastAsiaTheme="majorEastAsia" w:hAnsiTheme="majorHAnsi" w:cstheme="majorBidi"/>
      <w:b/>
      <w:bCs/>
      <w:color w:val="00B5E2" w:themeColor="accent1"/>
      <w:kern w:val="18"/>
      <w:sz w:val="48"/>
      <w:szCs w:val="28"/>
    </w:rPr>
  </w:style>
  <w:style w:type="character" w:customStyle="1" w:styleId="Heading2Char">
    <w:name w:val="Heading 2 Char"/>
    <w:basedOn w:val="DefaultParagraphFont"/>
    <w:link w:val="Heading2"/>
    <w:uiPriority w:val="3"/>
    <w:rsid w:val="002C14B3"/>
    <w:rPr>
      <w:rFonts w:asciiTheme="majorHAnsi" w:eastAsiaTheme="majorEastAsia" w:hAnsiTheme="majorHAnsi" w:cstheme="majorBidi"/>
      <w:b/>
      <w:bCs/>
      <w:color w:val="00B5E2" w:themeColor="accent1"/>
      <w:kern w:val="18"/>
      <w:sz w:val="24"/>
      <w:szCs w:val="24"/>
    </w:rPr>
  </w:style>
  <w:style w:type="character" w:customStyle="1" w:styleId="Heading3Char">
    <w:name w:val="Heading 3 Char"/>
    <w:basedOn w:val="DefaultParagraphFont"/>
    <w:link w:val="Heading3"/>
    <w:uiPriority w:val="4"/>
    <w:rsid w:val="002C14B3"/>
    <w:rPr>
      <w:rFonts w:asciiTheme="majorHAnsi" w:eastAsiaTheme="majorEastAsia" w:hAnsiTheme="majorHAnsi" w:cstheme="majorBidi"/>
      <w:bCs/>
      <w:color w:val="00B5E2" w:themeColor="accent1"/>
      <w:kern w:val="18"/>
      <w:sz w:val="22"/>
      <w:szCs w:val="24"/>
    </w:rPr>
  </w:style>
  <w:style w:type="paragraph" w:styleId="ListNumber">
    <w:name w:val="List Number"/>
    <w:basedOn w:val="Normal"/>
    <w:uiPriority w:val="11"/>
    <w:qFormat/>
    <w:rsid w:val="00E40194"/>
    <w:pPr>
      <w:numPr>
        <w:numId w:val="11"/>
      </w:numPr>
      <w:spacing w:after="120"/>
    </w:pPr>
  </w:style>
  <w:style w:type="paragraph" w:styleId="ListNumber2">
    <w:name w:val="List Number 2"/>
    <w:basedOn w:val="Normal"/>
    <w:uiPriority w:val="12"/>
    <w:qFormat/>
    <w:rsid w:val="00E40194"/>
    <w:pPr>
      <w:numPr>
        <w:ilvl w:val="1"/>
        <w:numId w:val="11"/>
      </w:numPr>
      <w:spacing w:after="120"/>
    </w:pPr>
  </w:style>
  <w:style w:type="paragraph" w:styleId="ListNumber3">
    <w:name w:val="List Number 3"/>
    <w:basedOn w:val="Normal"/>
    <w:uiPriority w:val="13"/>
    <w:qFormat/>
    <w:rsid w:val="00E40194"/>
    <w:pPr>
      <w:numPr>
        <w:ilvl w:val="2"/>
        <w:numId w:val="11"/>
      </w:numPr>
      <w:spacing w:after="120"/>
    </w:pPr>
  </w:style>
  <w:style w:type="paragraph" w:styleId="ListBullet">
    <w:name w:val="List Bullet"/>
    <w:basedOn w:val="Normal"/>
    <w:uiPriority w:val="7"/>
    <w:qFormat/>
    <w:rsid w:val="00E40194"/>
    <w:pPr>
      <w:numPr>
        <w:numId w:val="10"/>
      </w:numPr>
      <w:spacing w:after="120"/>
    </w:pPr>
  </w:style>
  <w:style w:type="paragraph" w:styleId="ListBullet2">
    <w:name w:val="List Bullet 2"/>
    <w:basedOn w:val="Normal"/>
    <w:uiPriority w:val="8"/>
    <w:qFormat/>
    <w:rsid w:val="00E40194"/>
    <w:pPr>
      <w:numPr>
        <w:ilvl w:val="1"/>
        <w:numId w:val="10"/>
      </w:numPr>
      <w:spacing w:after="120"/>
    </w:pPr>
  </w:style>
  <w:style w:type="paragraph" w:styleId="ListBullet3">
    <w:name w:val="List Bullet 3"/>
    <w:basedOn w:val="Normal"/>
    <w:uiPriority w:val="9"/>
    <w:qFormat/>
    <w:rsid w:val="00E40194"/>
    <w:pPr>
      <w:numPr>
        <w:ilvl w:val="2"/>
        <w:numId w:val="10"/>
      </w:numPr>
      <w:spacing w:after="120"/>
    </w:pPr>
  </w:style>
  <w:style w:type="paragraph" w:styleId="Header">
    <w:name w:val="header"/>
    <w:basedOn w:val="Normal"/>
    <w:link w:val="HeaderChar"/>
    <w:uiPriority w:val="99"/>
    <w:unhideWhenUsed/>
    <w:rsid w:val="00D87187"/>
    <w:pPr>
      <w:tabs>
        <w:tab w:val="center" w:pos="4513"/>
        <w:tab w:val="right" w:pos="9026"/>
      </w:tabs>
      <w:spacing w:line="240" w:lineRule="auto"/>
    </w:pPr>
    <w:rPr>
      <w:noProof/>
    </w:rPr>
  </w:style>
  <w:style w:type="character" w:customStyle="1" w:styleId="HeaderChar">
    <w:name w:val="Header Char"/>
    <w:basedOn w:val="DefaultParagraphFont"/>
    <w:link w:val="Header"/>
    <w:uiPriority w:val="99"/>
    <w:rsid w:val="00D87187"/>
    <w:rPr>
      <w:noProof/>
      <w:kern w:val="18"/>
    </w:rPr>
  </w:style>
  <w:style w:type="paragraph" w:styleId="Footer">
    <w:name w:val="footer"/>
    <w:basedOn w:val="Normal"/>
    <w:link w:val="FooterChar"/>
    <w:uiPriority w:val="99"/>
    <w:unhideWhenUsed/>
    <w:rsid w:val="00D87187"/>
    <w:pPr>
      <w:tabs>
        <w:tab w:val="center" w:pos="4513"/>
        <w:tab w:val="right" w:pos="9026"/>
      </w:tabs>
      <w:spacing w:line="240" w:lineRule="auto"/>
    </w:pPr>
    <w:rPr>
      <w:noProof/>
    </w:rPr>
  </w:style>
  <w:style w:type="character" w:customStyle="1" w:styleId="FooterChar">
    <w:name w:val="Footer Char"/>
    <w:basedOn w:val="DefaultParagraphFont"/>
    <w:link w:val="Footer"/>
    <w:uiPriority w:val="99"/>
    <w:rsid w:val="00D87187"/>
    <w:rPr>
      <w:noProof/>
      <w:kern w:val="18"/>
    </w:rPr>
  </w:style>
  <w:style w:type="table" w:styleId="TableGrid">
    <w:name w:val="Table Grid"/>
    <w:basedOn w:val="TableNormal"/>
    <w:uiPriority w:val="59"/>
    <w:unhideWhenUsed/>
    <w:rsid w:val="0004006A"/>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paragraph" w:customStyle="1" w:styleId="Addressblock">
    <w:name w:val="Address block"/>
    <w:basedOn w:val="Header"/>
    <w:unhideWhenUsed/>
    <w:rsid w:val="008928E6"/>
  </w:style>
  <w:style w:type="paragraph" w:styleId="BodyText">
    <w:name w:val="Body Text"/>
    <w:basedOn w:val="Normal"/>
    <w:link w:val="BodyTextChar"/>
    <w:qFormat/>
    <w:rsid w:val="0096337D"/>
    <w:pPr>
      <w:spacing w:after="180"/>
    </w:pPr>
  </w:style>
  <w:style w:type="character" w:customStyle="1" w:styleId="BodyTextChar">
    <w:name w:val="Body Text Char"/>
    <w:basedOn w:val="DefaultParagraphFont"/>
    <w:link w:val="BodyText"/>
    <w:rsid w:val="0096337D"/>
    <w:rPr>
      <w:kern w:val="18"/>
    </w:rPr>
  </w:style>
  <w:style w:type="paragraph" w:customStyle="1" w:styleId="HeaderTitle">
    <w:name w:val="HeaderTitle"/>
    <w:basedOn w:val="Addressblock"/>
    <w:next w:val="Addressblock"/>
    <w:unhideWhenUsed/>
    <w:rsid w:val="00BC0BB2"/>
    <w:rPr>
      <w:b/>
    </w:rPr>
  </w:style>
  <w:style w:type="paragraph" w:customStyle="1" w:styleId="ccenc">
    <w:name w:val="cc/enc"/>
    <w:basedOn w:val="Normal"/>
    <w:semiHidden/>
    <w:unhideWhenUsed/>
    <w:rsid w:val="001A5319"/>
    <w:pPr>
      <w:tabs>
        <w:tab w:val="left" w:pos="1418"/>
      </w:tabs>
      <w:spacing w:before="240"/>
      <w:ind w:left="1418" w:hanging="1418"/>
    </w:pPr>
    <w:rPr>
      <w:sz w:val="14"/>
      <w:szCs w:val="14"/>
    </w:rPr>
  </w:style>
  <w:style w:type="character" w:styleId="Hyperlink">
    <w:name w:val="Hyperlink"/>
    <w:basedOn w:val="DefaultParagraphFont"/>
    <w:uiPriority w:val="26"/>
    <w:qFormat/>
    <w:rsid w:val="0004006A"/>
    <w:rPr>
      <w:color w:val="00B5E2" w:themeColor="accent1"/>
      <w:u w:val="single"/>
    </w:rPr>
  </w:style>
  <w:style w:type="numbering" w:customStyle="1" w:styleId="AECOMAppendix">
    <w:name w:val="AECOM Appendix"/>
    <w:uiPriority w:val="99"/>
    <w:semiHidden/>
    <w:unhideWhenUsed/>
    <w:rsid w:val="0004006A"/>
    <w:pPr>
      <w:numPr>
        <w:numId w:val="5"/>
      </w:numPr>
    </w:pPr>
  </w:style>
  <w:style w:type="numbering" w:customStyle="1" w:styleId="AECOMNumbering">
    <w:name w:val="AECOM Numbering"/>
    <w:basedOn w:val="NoList"/>
    <w:uiPriority w:val="99"/>
    <w:semiHidden/>
    <w:unhideWhenUsed/>
    <w:rsid w:val="0004006A"/>
    <w:pPr>
      <w:numPr>
        <w:numId w:val="6"/>
      </w:numPr>
    </w:pPr>
  </w:style>
  <w:style w:type="table" w:customStyle="1" w:styleId="AECOMtable">
    <w:name w:val="AECOM table"/>
    <w:basedOn w:val="TableNormal"/>
    <w:uiPriority w:val="99"/>
    <w:unhideWhenUsed/>
    <w:rsid w:val="00255091"/>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numbering" w:customStyle="1" w:styleId="AECOMBullets">
    <w:name w:val="AECOM_Bullets"/>
    <w:basedOn w:val="NoList"/>
    <w:uiPriority w:val="99"/>
    <w:semiHidden/>
    <w:unhideWhenUsed/>
    <w:rsid w:val="00820425"/>
    <w:pPr>
      <w:numPr>
        <w:numId w:val="7"/>
      </w:numPr>
    </w:pPr>
  </w:style>
  <w:style w:type="numbering" w:customStyle="1" w:styleId="AECOMList">
    <w:name w:val="AECOM_List"/>
    <w:basedOn w:val="NoList"/>
    <w:uiPriority w:val="99"/>
    <w:semiHidden/>
    <w:unhideWhenUsed/>
    <w:rsid w:val="0004006A"/>
    <w:pPr>
      <w:numPr>
        <w:numId w:val="8"/>
      </w:numPr>
    </w:pPr>
  </w:style>
  <w:style w:type="paragraph" w:customStyle="1" w:styleId="Appendix">
    <w:name w:val="Appendix"/>
    <w:basedOn w:val="Heading1"/>
    <w:next w:val="BodyText"/>
    <w:uiPriority w:val="6"/>
    <w:qFormat/>
    <w:rsid w:val="0004006A"/>
    <w:pPr>
      <w:pageBreakBefore/>
    </w:pPr>
  </w:style>
  <w:style w:type="paragraph" w:styleId="Caption">
    <w:name w:val="caption"/>
    <w:basedOn w:val="Normal"/>
    <w:next w:val="BodyText"/>
    <w:uiPriority w:val="35"/>
    <w:qFormat/>
    <w:rsid w:val="0004006A"/>
    <w:pPr>
      <w:spacing w:after="120"/>
    </w:pPr>
    <w:rPr>
      <w:rFonts w:asciiTheme="majorHAnsi" w:hAnsiTheme="majorHAnsi"/>
      <w:b/>
      <w:bCs/>
      <w:color w:val="00B5E2" w:themeColor="accent1"/>
    </w:rPr>
  </w:style>
  <w:style w:type="table" w:styleId="ColorfulGrid">
    <w:name w:val="Colorful Grid"/>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04006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4006A"/>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04006A"/>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04006A"/>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04006A"/>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04006A"/>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04006A"/>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4006A"/>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04006A"/>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4006A"/>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4006A"/>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paragraph" w:customStyle="1" w:styleId="CoverTitle">
    <w:name w:val="Cover Title"/>
    <w:basedOn w:val="Normal"/>
    <w:next w:val="BodyText"/>
    <w:semiHidden/>
    <w:unhideWhenUsed/>
    <w:rsid w:val="0004006A"/>
    <w:pPr>
      <w:spacing w:before="360" w:after="360" w:line="900" w:lineRule="atLeast"/>
    </w:pPr>
    <w:rPr>
      <w:rFonts w:asciiTheme="majorHAnsi" w:hAnsiTheme="majorHAnsi"/>
      <w:b/>
      <w:color w:val="00B5E2" w:themeColor="accent1"/>
      <w:sz w:val="80"/>
    </w:rPr>
  </w:style>
  <w:style w:type="table" w:styleId="DarkList">
    <w:name w:val="Dark List"/>
    <w:basedOn w:val="TableNormal"/>
    <w:uiPriority w:val="70"/>
    <w:semiHidden/>
    <w:unhideWhenUsed/>
    <w:rsid w:val="0004006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4006A"/>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04006A"/>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04006A"/>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04006A"/>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04006A"/>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04006A"/>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paragraph" w:customStyle="1" w:styleId="DividerSectionNumber">
    <w:name w:val="Divider Section Number"/>
    <w:basedOn w:val="BodyText"/>
    <w:next w:val="BodyText"/>
    <w:semiHidden/>
    <w:unhideWhenUsed/>
    <w:rsid w:val="0004006A"/>
    <w:pPr>
      <w:spacing w:before="360" w:after="360" w:line="2400" w:lineRule="atLeast"/>
      <w:jc w:val="right"/>
    </w:pPr>
    <w:rPr>
      <w:rFonts w:asciiTheme="majorHAnsi" w:hAnsiTheme="majorHAnsi"/>
      <w:color w:val="00B5E2" w:themeColor="accent1"/>
      <w:sz w:val="200"/>
    </w:rPr>
  </w:style>
  <w:style w:type="paragraph" w:customStyle="1" w:styleId="DividerSectionNumberSmall">
    <w:name w:val="Divider Section Number (Small)"/>
    <w:basedOn w:val="Normal"/>
    <w:next w:val="BodyText"/>
    <w:semiHidden/>
    <w:unhideWhenUsed/>
    <w:rsid w:val="0004006A"/>
    <w:pPr>
      <w:spacing w:before="360" w:after="360" w:line="1440" w:lineRule="atLeast"/>
      <w:jc w:val="right"/>
    </w:pPr>
    <w:rPr>
      <w:rFonts w:asciiTheme="majorHAnsi" w:hAnsiTheme="majorHAnsi"/>
      <w:b/>
      <w:color w:val="00B5E2" w:themeColor="accent1"/>
      <w:sz w:val="120"/>
    </w:rPr>
  </w:style>
  <w:style w:type="character" w:styleId="FollowedHyperlink">
    <w:name w:val="FollowedHyperlink"/>
    <w:basedOn w:val="DefaultParagraphFont"/>
    <w:uiPriority w:val="27"/>
    <w:qFormat/>
    <w:rsid w:val="0004006A"/>
    <w:rPr>
      <w:color w:val="84BD00" w:themeColor="accent2"/>
      <w:u w:val="single"/>
    </w:rPr>
  </w:style>
  <w:style w:type="character" w:styleId="FootnoteReference">
    <w:name w:val="footnote reference"/>
    <w:aliases w:val="stylish,SUPERS,EN Footnote Reference,Footnote symbol,Footnote reference number,Footnote,Times 10 Point,Exposant 3 Point,Ref,de nota al pie,note TESI,number"/>
    <w:basedOn w:val="DefaultParagraphFont"/>
    <w:uiPriority w:val="99"/>
    <w:semiHidden/>
    <w:unhideWhenUsed/>
    <w:rsid w:val="0004006A"/>
    <w:rPr>
      <w:rFonts w:asciiTheme="majorHAnsi" w:hAnsiTheme="majorHAnsi"/>
      <w:color w:val="84BD00" w:themeColor="accent2"/>
      <w:vertAlign w:val="superscript"/>
    </w:rPr>
  </w:style>
  <w:style w:type="paragraph" w:styleId="FootnoteText">
    <w:name w:val="footnote text"/>
    <w:aliases w:val="Fußnotentextf,Footnote Text CEP Char,Footnote Text CEP,Char,Footnote Text Char Char Char Char,Footnote Text Char Char Char Char Char Char Char,Footnote Text Char Char,Footnote Text Char Char Char Char Char Char,ft,RSK-FT,RSK-FT1"/>
    <w:basedOn w:val="Normal"/>
    <w:link w:val="FootnoteTextChar"/>
    <w:uiPriority w:val="99"/>
    <w:semiHidden/>
    <w:unhideWhenUsed/>
    <w:rsid w:val="0004006A"/>
    <w:pPr>
      <w:spacing w:line="240" w:lineRule="auto"/>
    </w:pPr>
    <w:rPr>
      <w:sz w:val="16"/>
      <w:szCs w:val="20"/>
    </w:rPr>
  </w:style>
  <w:style w:type="character" w:customStyle="1" w:styleId="FootnoteTextChar">
    <w:name w:val="Footnote Text Char"/>
    <w:aliases w:val="Fußnotentextf Char,Footnote Text CEP Char Char,Footnote Text CEP Char1,Char Char,Footnote Text Char Char Char Char Char,Footnote Text Char Char Char Char Char Char Char Char,Footnote Text Char Char Char,ft Char,RSK-FT Char"/>
    <w:basedOn w:val="DefaultParagraphFont"/>
    <w:link w:val="FootnoteText"/>
    <w:uiPriority w:val="99"/>
    <w:semiHidden/>
    <w:rsid w:val="0004006A"/>
    <w:rPr>
      <w:sz w:val="16"/>
      <w:szCs w:val="20"/>
    </w:rPr>
  </w:style>
  <w:style w:type="character" w:customStyle="1" w:styleId="Heading4Char">
    <w:name w:val="Heading 4 Char"/>
    <w:basedOn w:val="DefaultParagraphFont"/>
    <w:link w:val="Heading4"/>
    <w:uiPriority w:val="5"/>
    <w:rsid w:val="008F637D"/>
    <w:rPr>
      <w:rFonts w:asciiTheme="majorHAnsi" w:eastAsiaTheme="majorEastAsia" w:hAnsiTheme="majorHAnsi" w:cstheme="majorBidi"/>
      <w:b/>
      <w:bCs/>
      <w:iCs/>
      <w:kern w:val="18"/>
      <w:sz w:val="30"/>
    </w:rPr>
  </w:style>
  <w:style w:type="character" w:customStyle="1" w:styleId="Heading5Char">
    <w:name w:val="Heading 5 Char"/>
    <w:basedOn w:val="DefaultParagraphFont"/>
    <w:link w:val="Heading5"/>
    <w:uiPriority w:val="9"/>
    <w:semiHidden/>
    <w:rsid w:val="008F637D"/>
    <w:rPr>
      <w:rFonts w:asciiTheme="majorHAnsi" w:eastAsiaTheme="majorEastAsia" w:hAnsiTheme="majorHAnsi" w:cstheme="majorBidi"/>
      <w:b/>
      <w:color w:val="00B5E2" w:themeColor="accent1"/>
      <w:kern w:val="18"/>
    </w:rPr>
  </w:style>
  <w:style w:type="table" w:styleId="LightGrid">
    <w:name w:val="Light Grid"/>
    <w:basedOn w:val="TableNormal"/>
    <w:uiPriority w:val="62"/>
    <w:semiHidden/>
    <w:unhideWhenUsed/>
    <w:rsid w:val="000400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4006A"/>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04006A"/>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04006A"/>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04006A"/>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04006A"/>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04006A"/>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0400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4006A"/>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04006A"/>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04006A"/>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04006A"/>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04006A"/>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04006A"/>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0400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4006A"/>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04006A"/>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04006A"/>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04006A"/>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04006A"/>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04006A"/>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0400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4006A"/>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04006A"/>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04006A"/>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04006A"/>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04006A"/>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04006A"/>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04006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4006A"/>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04006A"/>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04006A"/>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04006A"/>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04006A"/>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04006A"/>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400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4006A"/>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4006A"/>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4006A"/>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4006A"/>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4006A"/>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4006A"/>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Title">
    <w:name w:val="Section Title"/>
    <w:basedOn w:val="BodyText"/>
    <w:next w:val="BodyText"/>
    <w:semiHidden/>
    <w:unhideWhenUsed/>
    <w:rsid w:val="0004006A"/>
    <w:pPr>
      <w:spacing w:before="360" w:after="360" w:line="660" w:lineRule="atLeast"/>
      <w:jc w:val="right"/>
    </w:pPr>
    <w:rPr>
      <w:rFonts w:asciiTheme="majorHAnsi" w:hAnsiTheme="majorHAnsi"/>
      <w:color w:val="00B5E2" w:themeColor="accent1"/>
      <w:sz w:val="60"/>
    </w:rPr>
  </w:style>
  <w:style w:type="paragraph" w:customStyle="1" w:styleId="Source">
    <w:name w:val="Source"/>
    <w:basedOn w:val="Normal"/>
    <w:uiPriority w:val="25"/>
    <w:qFormat/>
    <w:rsid w:val="0004006A"/>
    <w:pPr>
      <w:spacing w:after="120"/>
    </w:pPr>
    <w:rPr>
      <w:i/>
      <w:sz w:val="16"/>
    </w:rPr>
  </w:style>
  <w:style w:type="table" w:styleId="Table3Deffects1">
    <w:name w:val="Table 3D effects 1"/>
    <w:basedOn w:val="TableNormal"/>
    <w:uiPriority w:val="99"/>
    <w:semiHidden/>
    <w:unhideWhenUsed/>
    <w:rsid w:val="0004006A"/>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4006A"/>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4006A"/>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4006A"/>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4006A"/>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4006A"/>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4006A"/>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4006A"/>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4006A"/>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4006A"/>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4006A"/>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4006A"/>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4006A"/>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4006A"/>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4006A"/>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4006A"/>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4006A"/>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4006A"/>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4006A"/>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4006A"/>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4006A"/>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4006A"/>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04006A"/>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4006A"/>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4006A"/>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4006A"/>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4006A"/>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4006A"/>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4006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4006A"/>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4006A"/>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4006A"/>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4006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4006A"/>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4006A"/>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4006A"/>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rsid w:val="00BE4832"/>
    <w:pPr>
      <w:spacing w:after="300" w:line="240" w:lineRule="auto"/>
      <w:contextualSpacing/>
    </w:pPr>
    <w:rPr>
      <w:rFonts w:asciiTheme="majorHAnsi" w:eastAsiaTheme="majorEastAsia" w:hAnsiTheme="majorHAnsi" w:cstheme="majorBidi"/>
      <w:color w:val="00B5E2" w:themeColor="accent1"/>
      <w:spacing w:val="5"/>
      <w:kern w:val="28"/>
      <w:sz w:val="48"/>
      <w:szCs w:val="32"/>
    </w:rPr>
  </w:style>
  <w:style w:type="character" w:customStyle="1" w:styleId="TitleChar">
    <w:name w:val="Title Char"/>
    <w:basedOn w:val="DefaultParagraphFont"/>
    <w:link w:val="Title"/>
    <w:uiPriority w:val="10"/>
    <w:semiHidden/>
    <w:rsid w:val="00BE4832"/>
    <w:rPr>
      <w:rFonts w:asciiTheme="majorHAnsi" w:eastAsiaTheme="majorEastAsia" w:hAnsiTheme="majorHAnsi" w:cstheme="majorBidi"/>
      <w:color w:val="00B5E2" w:themeColor="accent1"/>
      <w:spacing w:val="5"/>
      <w:kern w:val="28"/>
      <w:sz w:val="48"/>
      <w:szCs w:val="32"/>
    </w:rPr>
  </w:style>
  <w:style w:type="table" w:customStyle="1" w:styleId="Plaingrid">
    <w:name w:val="Plain grid"/>
    <w:basedOn w:val="TableNormal"/>
    <w:uiPriority w:val="99"/>
    <w:semiHidden/>
    <w:unhideWhenUsed/>
    <w:rsid w:val="00981D52"/>
    <w:tblPr>
      <w:tblCellMar>
        <w:left w:w="0" w:type="dxa"/>
      </w:tblCellMar>
    </w:tblPr>
  </w:style>
  <w:style w:type="character" w:customStyle="1" w:styleId="Heading6Char">
    <w:name w:val="Heading 6 Char"/>
    <w:basedOn w:val="DefaultParagraphFont"/>
    <w:link w:val="Heading6"/>
    <w:uiPriority w:val="9"/>
    <w:semiHidden/>
    <w:rsid w:val="008F637D"/>
    <w:rPr>
      <w:rFonts w:asciiTheme="majorHAnsi" w:eastAsiaTheme="majorEastAsia" w:hAnsiTheme="majorHAnsi" w:cstheme="majorBidi"/>
      <w:b/>
      <w:iCs/>
      <w:kern w:val="18"/>
    </w:rPr>
  </w:style>
  <w:style w:type="character" w:customStyle="1" w:styleId="Heading7Char">
    <w:name w:val="Heading 7 Char"/>
    <w:basedOn w:val="DefaultParagraphFont"/>
    <w:link w:val="Heading7"/>
    <w:uiPriority w:val="9"/>
    <w:semiHidden/>
    <w:rsid w:val="008F637D"/>
    <w:rPr>
      <w:rFonts w:asciiTheme="majorHAnsi" w:eastAsiaTheme="majorEastAsia" w:hAnsiTheme="majorHAnsi" w:cstheme="majorBidi"/>
      <w:i/>
      <w:iCs/>
      <w:kern w:val="18"/>
    </w:rPr>
  </w:style>
  <w:style w:type="character" w:customStyle="1" w:styleId="Heading8Char">
    <w:name w:val="Heading 8 Char"/>
    <w:basedOn w:val="DefaultParagraphFont"/>
    <w:link w:val="Heading8"/>
    <w:uiPriority w:val="9"/>
    <w:semiHidden/>
    <w:rsid w:val="008F637D"/>
    <w:rPr>
      <w:rFonts w:asciiTheme="majorHAnsi" w:eastAsiaTheme="majorEastAsia" w:hAnsiTheme="majorHAnsi" w:cstheme="majorBidi"/>
      <w:kern w:val="18"/>
    </w:rPr>
  </w:style>
  <w:style w:type="character" w:customStyle="1" w:styleId="Heading9Char">
    <w:name w:val="Heading 9 Char"/>
    <w:basedOn w:val="DefaultParagraphFont"/>
    <w:link w:val="Heading9"/>
    <w:uiPriority w:val="9"/>
    <w:semiHidden/>
    <w:rsid w:val="008F637D"/>
    <w:rPr>
      <w:rFonts w:asciiTheme="majorHAnsi" w:eastAsiaTheme="majorEastAsia" w:hAnsiTheme="majorHAnsi" w:cstheme="majorBidi"/>
      <w:iCs/>
      <w:kern w:val="18"/>
    </w:rPr>
  </w:style>
  <w:style w:type="paragraph" w:styleId="BalloonText">
    <w:name w:val="Balloon Text"/>
    <w:basedOn w:val="Normal"/>
    <w:link w:val="BalloonTextChar"/>
    <w:uiPriority w:val="99"/>
    <w:semiHidden/>
    <w:unhideWhenUsed/>
    <w:rsid w:val="00591C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1A"/>
    <w:rPr>
      <w:rFonts w:ascii="Tahoma" w:hAnsi="Tahoma" w:cs="Tahoma"/>
      <w:sz w:val="16"/>
      <w:szCs w:val="16"/>
    </w:rPr>
  </w:style>
  <w:style w:type="paragraph" w:styleId="TOCHeading">
    <w:name w:val="TOC Heading"/>
    <w:basedOn w:val="Heading1"/>
    <w:next w:val="Normal"/>
    <w:uiPriority w:val="39"/>
    <w:semiHidden/>
    <w:unhideWhenUsed/>
    <w:rsid w:val="00F051A7"/>
    <w:pPr>
      <w:pBdr>
        <w:top w:val="none" w:sz="0" w:space="0" w:color="auto"/>
        <w:bottom w:val="none" w:sz="0" w:space="0" w:color="auto"/>
      </w:pBdr>
      <w:tabs>
        <w:tab w:val="left" w:pos="284"/>
      </w:tabs>
      <w:spacing w:line="240" w:lineRule="atLeast"/>
      <w:outlineLvl w:val="9"/>
    </w:pPr>
  </w:style>
  <w:style w:type="paragraph" w:styleId="Quote">
    <w:name w:val="Quote"/>
    <w:basedOn w:val="Normal"/>
    <w:next w:val="Normal"/>
    <w:link w:val="QuoteChar"/>
    <w:uiPriority w:val="21"/>
    <w:qFormat/>
    <w:rsid w:val="00506652"/>
    <w:pPr>
      <w:tabs>
        <w:tab w:val="left" w:pos="284"/>
      </w:tabs>
      <w:spacing w:after="180"/>
      <w:ind w:left="851" w:right="567"/>
    </w:pPr>
    <w:rPr>
      <w:i/>
      <w:iCs/>
      <w:color w:val="000000" w:themeColor="text1"/>
    </w:rPr>
  </w:style>
  <w:style w:type="character" w:customStyle="1" w:styleId="QuoteChar">
    <w:name w:val="Quote Char"/>
    <w:basedOn w:val="DefaultParagraphFont"/>
    <w:link w:val="Quote"/>
    <w:uiPriority w:val="13"/>
    <w:rsid w:val="00506652"/>
    <w:rPr>
      <w:i/>
      <w:iCs/>
      <w:color w:val="000000" w:themeColor="text1"/>
    </w:rPr>
  </w:style>
  <w:style w:type="paragraph" w:customStyle="1" w:styleId="TableListBullet">
    <w:name w:val="Table List Bullet"/>
    <w:basedOn w:val="Normal"/>
    <w:uiPriority w:val="15"/>
    <w:qFormat/>
    <w:rsid w:val="00BC66B6"/>
    <w:pPr>
      <w:numPr>
        <w:numId w:val="14"/>
      </w:numPr>
      <w:spacing w:after="40" w:line="240" w:lineRule="auto"/>
    </w:pPr>
    <w:rPr>
      <w:sz w:val="16"/>
    </w:rPr>
  </w:style>
  <w:style w:type="paragraph" w:customStyle="1" w:styleId="TableListBullet2">
    <w:name w:val="Table List Bullet 2"/>
    <w:basedOn w:val="Normal"/>
    <w:uiPriority w:val="16"/>
    <w:qFormat/>
    <w:rsid w:val="00BC66B6"/>
    <w:pPr>
      <w:numPr>
        <w:ilvl w:val="1"/>
        <w:numId w:val="14"/>
      </w:numPr>
      <w:spacing w:after="40" w:line="240" w:lineRule="auto"/>
    </w:pPr>
    <w:rPr>
      <w:sz w:val="16"/>
    </w:rPr>
  </w:style>
  <w:style w:type="paragraph" w:customStyle="1" w:styleId="TableListBullet3">
    <w:name w:val="Table List Bullet 3"/>
    <w:basedOn w:val="Normal"/>
    <w:uiPriority w:val="17"/>
    <w:qFormat/>
    <w:rsid w:val="00BC66B6"/>
    <w:pPr>
      <w:numPr>
        <w:ilvl w:val="2"/>
        <w:numId w:val="14"/>
      </w:numPr>
      <w:spacing w:after="40" w:line="240" w:lineRule="auto"/>
    </w:pPr>
    <w:rPr>
      <w:sz w:val="16"/>
    </w:rPr>
  </w:style>
  <w:style w:type="paragraph" w:customStyle="1" w:styleId="Tabletext">
    <w:name w:val="Table text"/>
    <w:basedOn w:val="BodyText"/>
    <w:uiPriority w:val="14"/>
    <w:qFormat/>
    <w:rsid w:val="0032736F"/>
    <w:pPr>
      <w:spacing w:before="40" w:after="40" w:line="240" w:lineRule="auto"/>
    </w:pPr>
    <w:rPr>
      <w:sz w:val="16"/>
    </w:rPr>
  </w:style>
  <w:style w:type="paragraph" w:customStyle="1" w:styleId="TableListNumber">
    <w:name w:val="Table List Number"/>
    <w:basedOn w:val="BodyText"/>
    <w:uiPriority w:val="18"/>
    <w:qFormat/>
    <w:rsid w:val="00345D5E"/>
    <w:pPr>
      <w:numPr>
        <w:numId w:val="12"/>
      </w:numPr>
      <w:spacing w:after="40" w:line="240" w:lineRule="auto"/>
    </w:pPr>
    <w:rPr>
      <w:sz w:val="16"/>
    </w:rPr>
  </w:style>
  <w:style w:type="paragraph" w:customStyle="1" w:styleId="TableListNumber2">
    <w:name w:val="Table List Number 2"/>
    <w:basedOn w:val="Normal"/>
    <w:uiPriority w:val="19"/>
    <w:qFormat/>
    <w:rsid w:val="00345D5E"/>
    <w:pPr>
      <w:numPr>
        <w:ilvl w:val="1"/>
        <w:numId w:val="12"/>
      </w:numPr>
      <w:spacing w:after="40" w:line="240" w:lineRule="auto"/>
    </w:pPr>
    <w:rPr>
      <w:sz w:val="16"/>
    </w:rPr>
  </w:style>
  <w:style w:type="paragraph" w:customStyle="1" w:styleId="TableListNumber3">
    <w:name w:val="Table List Number 3"/>
    <w:basedOn w:val="Normal"/>
    <w:uiPriority w:val="20"/>
    <w:qFormat/>
    <w:rsid w:val="00345D5E"/>
    <w:pPr>
      <w:numPr>
        <w:ilvl w:val="2"/>
        <w:numId w:val="12"/>
      </w:numPr>
      <w:spacing w:after="40" w:line="240" w:lineRule="auto"/>
      <w:ind w:left="851"/>
    </w:pPr>
    <w:rPr>
      <w:sz w:val="16"/>
    </w:rPr>
  </w:style>
  <w:style w:type="numbering" w:customStyle="1" w:styleId="AECOMTableNumbering">
    <w:name w:val="AECOM Table Numbering"/>
    <w:uiPriority w:val="99"/>
    <w:semiHidden/>
    <w:unhideWhenUsed/>
    <w:rsid w:val="00345D5E"/>
    <w:pPr>
      <w:numPr>
        <w:numId w:val="12"/>
      </w:numPr>
    </w:pPr>
  </w:style>
  <w:style w:type="numbering" w:customStyle="1" w:styleId="AECOMTableBullets">
    <w:name w:val="AECOM Table Bullets"/>
    <w:uiPriority w:val="99"/>
    <w:semiHidden/>
    <w:unhideWhenUsed/>
    <w:rsid w:val="00BC66B6"/>
    <w:pPr>
      <w:numPr>
        <w:numId w:val="13"/>
      </w:numPr>
    </w:pPr>
  </w:style>
  <w:style w:type="numbering" w:styleId="111111">
    <w:name w:val="Outline List 2"/>
    <w:basedOn w:val="NoList"/>
    <w:uiPriority w:val="99"/>
    <w:semiHidden/>
    <w:unhideWhenUsed/>
    <w:rsid w:val="00BE1245"/>
    <w:pPr>
      <w:numPr>
        <w:numId w:val="15"/>
      </w:numPr>
    </w:pPr>
  </w:style>
  <w:style w:type="numbering" w:styleId="1ai">
    <w:name w:val="Outline List 1"/>
    <w:basedOn w:val="NoList"/>
    <w:uiPriority w:val="99"/>
    <w:semiHidden/>
    <w:unhideWhenUsed/>
    <w:rsid w:val="00BE1245"/>
    <w:pPr>
      <w:numPr>
        <w:numId w:val="16"/>
      </w:numPr>
    </w:pPr>
  </w:style>
  <w:style w:type="numbering" w:styleId="ArticleSection">
    <w:name w:val="Outline List 3"/>
    <w:basedOn w:val="NoList"/>
    <w:uiPriority w:val="99"/>
    <w:semiHidden/>
    <w:unhideWhenUsed/>
    <w:rsid w:val="00BE1245"/>
    <w:pPr>
      <w:numPr>
        <w:numId w:val="17"/>
      </w:numPr>
    </w:pPr>
  </w:style>
  <w:style w:type="paragraph" w:styleId="Bibliography">
    <w:name w:val="Bibliography"/>
    <w:basedOn w:val="Normal"/>
    <w:next w:val="Normal"/>
    <w:uiPriority w:val="37"/>
    <w:semiHidden/>
    <w:unhideWhenUsed/>
    <w:rsid w:val="00BE1245"/>
  </w:style>
  <w:style w:type="paragraph" w:styleId="BlockText">
    <w:name w:val="Block Text"/>
    <w:basedOn w:val="Normal"/>
    <w:uiPriority w:val="99"/>
    <w:semiHidden/>
    <w:unhideWhenUsed/>
    <w:rsid w:val="00BE1245"/>
    <w:pPr>
      <w:pBdr>
        <w:top w:val="single" w:sz="2" w:space="10" w:color="00B5E2" w:themeColor="accent1"/>
        <w:left w:val="single" w:sz="2" w:space="10" w:color="00B5E2" w:themeColor="accent1"/>
        <w:bottom w:val="single" w:sz="2" w:space="10" w:color="00B5E2" w:themeColor="accent1"/>
        <w:right w:val="single" w:sz="2" w:space="10" w:color="00B5E2" w:themeColor="accent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BE1245"/>
    <w:pPr>
      <w:spacing w:after="120" w:line="480" w:lineRule="auto"/>
    </w:pPr>
  </w:style>
  <w:style w:type="character" w:customStyle="1" w:styleId="BodyText2Char">
    <w:name w:val="Body Text 2 Char"/>
    <w:basedOn w:val="DefaultParagraphFont"/>
    <w:link w:val="BodyText2"/>
    <w:uiPriority w:val="99"/>
    <w:semiHidden/>
    <w:rsid w:val="00BE1245"/>
    <w:rPr>
      <w:kern w:val="18"/>
    </w:rPr>
  </w:style>
  <w:style w:type="paragraph" w:styleId="BodyText3">
    <w:name w:val="Body Text 3"/>
    <w:basedOn w:val="Normal"/>
    <w:link w:val="BodyText3Char"/>
    <w:uiPriority w:val="99"/>
    <w:semiHidden/>
    <w:unhideWhenUsed/>
    <w:rsid w:val="00BE1245"/>
    <w:pPr>
      <w:spacing w:after="120"/>
    </w:pPr>
    <w:rPr>
      <w:sz w:val="16"/>
      <w:szCs w:val="16"/>
    </w:rPr>
  </w:style>
  <w:style w:type="character" w:customStyle="1" w:styleId="BodyText3Char">
    <w:name w:val="Body Text 3 Char"/>
    <w:basedOn w:val="DefaultParagraphFont"/>
    <w:link w:val="BodyText3"/>
    <w:uiPriority w:val="99"/>
    <w:semiHidden/>
    <w:rsid w:val="00BE1245"/>
    <w:rPr>
      <w:kern w:val="18"/>
      <w:sz w:val="16"/>
      <w:szCs w:val="16"/>
    </w:rPr>
  </w:style>
  <w:style w:type="paragraph" w:styleId="BodyTextFirstIndent">
    <w:name w:val="Body Text First Indent"/>
    <w:basedOn w:val="BodyText"/>
    <w:link w:val="BodyTextFirstIndentChar"/>
    <w:uiPriority w:val="99"/>
    <w:semiHidden/>
    <w:unhideWhenUsed/>
    <w:rsid w:val="00BE1245"/>
    <w:pPr>
      <w:spacing w:after="0"/>
      <w:ind w:firstLine="360"/>
    </w:pPr>
  </w:style>
  <w:style w:type="character" w:customStyle="1" w:styleId="BodyTextFirstIndentChar">
    <w:name w:val="Body Text First Indent Char"/>
    <w:basedOn w:val="BodyTextChar"/>
    <w:link w:val="BodyTextFirstIndent"/>
    <w:uiPriority w:val="99"/>
    <w:semiHidden/>
    <w:rsid w:val="00BE1245"/>
    <w:rPr>
      <w:kern w:val="18"/>
    </w:rPr>
  </w:style>
  <w:style w:type="paragraph" w:styleId="BodyTextIndent">
    <w:name w:val="Body Text Indent"/>
    <w:basedOn w:val="Normal"/>
    <w:link w:val="BodyTextIndentChar"/>
    <w:uiPriority w:val="99"/>
    <w:semiHidden/>
    <w:unhideWhenUsed/>
    <w:rsid w:val="00BE1245"/>
    <w:pPr>
      <w:spacing w:after="120"/>
      <w:ind w:left="283"/>
    </w:pPr>
  </w:style>
  <w:style w:type="character" w:customStyle="1" w:styleId="BodyTextIndentChar">
    <w:name w:val="Body Text Indent Char"/>
    <w:basedOn w:val="DefaultParagraphFont"/>
    <w:link w:val="BodyTextIndent"/>
    <w:uiPriority w:val="99"/>
    <w:semiHidden/>
    <w:rsid w:val="00BE1245"/>
    <w:rPr>
      <w:kern w:val="18"/>
    </w:rPr>
  </w:style>
  <w:style w:type="paragraph" w:styleId="BodyTextFirstIndent2">
    <w:name w:val="Body Text First Indent 2"/>
    <w:basedOn w:val="BodyTextIndent"/>
    <w:link w:val="BodyTextFirstIndent2Char"/>
    <w:uiPriority w:val="99"/>
    <w:semiHidden/>
    <w:unhideWhenUsed/>
    <w:rsid w:val="00BE1245"/>
    <w:pPr>
      <w:spacing w:after="0"/>
      <w:ind w:left="360" w:firstLine="360"/>
    </w:pPr>
  </w:style>
  <w:style w:type="character" w:customStyle="1" w:styleId="BodyTextFirstIndent2Char">
    <w:name w:val="Body Text First Indent 2 Char"/>
    <w:basedOn w:val="BodyTextIndentChar"/>
    <w:link w:val="BodyTextFirstIndent2"/>
    <w:uiPriority w:val="99"/>
    <w:semiHidden/>
    <w:rsid w:val="00BE1245"/>
    <w:rPr>
      <w:kern w:val="18"/>
    </w:rPr>
  </w:style>
  <w:style w:type="paragraph" w:styleId="BodyTextIndent2">
    <w:name w:val="Body Text Indent 2"/>
    <w:basedOn w:val="Normal"/>
    <w:link w:val="BodyTextIndent2Char"/>
    <w:uiPriority w:val="99"/>
    <w:semiHidden/>
    <w:unhideWhenUsed/>
    <w:rsid w:val="00BE1245"/>
    <w:pPr>
      <w:spacing w:after="120" w:line="480" w:lineRule="auto"/>
      <w:ind w:left="283"/>
    </w:pPr>
  </w:style>
  <w:style w:type="character" w:customStyle="1" w:styleId="BodyTextIndent2Char">
    <w:name w:val="Body Text Indent 2 Char"/>
    <w:basedOn w:val="DefaultParagraphFont"/>
    <w:link w:val="BodyTextIndent2"/>
    <w:uiPriority w:val="99"/>
    <w:semiHidden/>
    <w:rsid w:val="00BE1245"/>
    <w:rPr>
      <w:kern w:val="18"/>
    </w:rPr>
  </w:style>
  <w:style w:type="paragraph" w:styleId="BodyTextIndent3">
    <w:name w:val="Body Text Indent 3"/>
    <w:basedOn w:val="Normal"/>
    <w:link w:val="BodyTextIndent3Char"/>
    <w:uiPriority w:val="99"/>
    <w:semiHidden/>
    <w:unhideWhenUsed/>
    <w:rsid w:val="00BE12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1245"/>
    <w:rPr>
      <w:kern w:val="18"/>
      <w:sz w:val="16"/>
      <w:szCs w:val="16"/>
    </w:rPr>
  </w:style>
  <w:style w:type="character" w:styleId="BookTitle">
    <w:name w:val="Book Title"/>
    <w:basedOn w:val="DefaultParagraphFont"/>
    <w:uiPriority w:val="33"/>
    <w:semiHidden/>
    <w:unhideWhenUsed/>
    <w:rsid w:val="00BE1245"/>
    <w:rPr>
      <w:b/>
      <w:bCs/>
      <w:smallCaps/>
      <w:spacing w:val="5"/>
    </w:rPr>
  </w:style>
  <w:style w:type="paragraph" w:styleId="Closing">
    <w:name w:val="Closing"/>
    <w:basedOn w:val="Normal"/>
    <w:link w:val="ClosingChar"/>
    <w:uiPriority w:val="99"/>
    <w:semiHidden/>
    <w:unhideWhenUsed/>
    <w:rsid w:val="00BE1245"/>
    <w:pPr>
      <w:spacing w:line="240" w:lineRule="auto"/>
      <w:ind w:left="4252"/>
    </w:pPr>
  </w:style>
  <w:style w:type="character" w:customStyle="1" w:styleId="ClosingChar">
    <w:name w:val="Closing Char"/>
    <w:basedOn w:val="DefaultParagraphFont"/>
    <w:link w:val="Closing"/>
    <w:uiPriority w:val="99"/>
    <w:semiHidden/>
    <w:rsid w:val="00BE1245"/>
    <w:rPr>
      <w:kern w:val="18"/>
    </w:rPr>
  </w:style>
  <w:style w:type="character" w:styleId="CommentReference">
    <w:name w:val="annotation reference"/>
    <w:basedOn w:val="DefaultParagraphFont"/>
    <w:uiPriority w:val="99"/>
    <w:semiHidden/>
    <w:unhideWhenUsed/>
    <w:rsid w:val="00BE1245"/>
    <w:rPr>
      <w:sz w:val="16"/>
      <w:szCs w:val="16"/>
    </w:rPr>
  </w:style>
  <w:style w:type="paragraph" w:styleId="CommentText">
    <w:name w:val="annotation text"/>
    <w:basedOn w:val="Normal"/>
    <w:link w:val="CommentTextChar"/>
    <w:uiPriority w:val="99"/>
    <w:semiHidden/>
    <w:unhideWhenUsed/>
    <w:rsid w:val="00BE1245"/>
    <w:pPr>
      <w:spacing w:line="240" w:lineRule="auto"/>
    </w:pPr>
    <w:rPr>
      <w:sz w:val="20"/>
      <w:szCs w:val="20"/>
    </w:rPr>
  </w:style>
  <w:style w:type="character" w:customStyle="1" w:styleId="CommentTextChar">
    <w:name w:val="Comment Text Char"/>
    <w:basedOn w:val="DefaultParagraphFont"/>
    <w:link w:val="CommentText"/>
    <w:uiPriority w:val="99"/>
    <w:semiHidden/>
    <w:rsid w:val="00BE1245"/>
    <w:rPr>
      <w:kern w:val="18"/>
      <w:sz w:val="20"/>
      <w:szCs w:val="20"/>
    </w:rPr>
  </w:style>
  <w:style w:type="paragraph" w:styleId="CommentSubject">
    <w:name w:val="annotation subject"/>
    <w:basedOn w:val="CommentText"/>
    <w:next w:val="CommentText"/>
    <w:link w:val="CommentSubjectChar"/>
    <w:uiPriority w:val="99"/>
    <w:semiHidden/>
    <w:unhideWhenUsed/>
    <w:rsid w:val="00BE1245"/>
    <w:rPr>
      <w:b/>
      <w:bCs/>
    </w:rPr>
  </w:style>
  <w:style w:type="character" w:customStyle="1" w:styleId="CommentSubjectChar">
    <w:name w:val="Comment Subject Char"/>
    <w:basedOn w:val="CommentTextChar"/>
    <w:link w:val="CommentSubject"/>
    <w:uiPriority w:val="99"/>
    <w:semiHidden/>
    <w:rsid w:val="00BE1245"/>
    <w:rPr>
      <w:b/>
      <w:bCs/>
      <w:kern w:val="18"/>
      <w:sz w:val="20"/>
      <w:szCs w:val="20"/>
    </w:rPr>
  </w:style>
  <w:style w:type="paragraph" w:styleId="Date">
    <w:name w:val="Date"/>
    <w:basedOn w:val="Normal"/>
    <w:next w:val="Normal"/>
    <w:link w:val="DateChar"/>
    <w:uiPriority w:val="99"/>
    <w:semiHidden/>
    <w:unhideWhenUsed/>
    <w:rsid w:val="00BE1245"/>
  </w:style>
  <w:style w:type="character" w:customStyle="1" w:styleId="DateChar">
    <w:name w:val="Date Char"/>
    <w:basedOn w:val="DefaultParagraphFont"/>
    <w:link w:val="Date"/>
    <w:uiPriority w:val="99"/>
    <w:semiHidden/>
    <w:rsid w:val="00BE1245"/>
    <w:rPr>
      <w:kern w:val="18"/>
    </w:rPr>
  </w:style>
  <w:style w:type="paragraph" w:styleId="DocumentMap">
    <w:name w:val="Document Map"/>
    <w:basedOn w:val="Normal"/>
    <w:link w:val="DocumentMapChar"/>
    <w:uiPriority w:val="99"/>
    <w:semiHidden/>
    <w:unhideWhenUsed/>
    <w:rsid w:val="00BE124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E1245"/>
    <w:rPr>
      <w:rFonts w:ascii="Tahoma" w:hAnsi="Tahoma" w:cs="Tahoma"/>
      <w:kern w:val="18"/>
      <w:sz w:val="16"/>
      <w:szCs w:val="16"/>
    </w:rPr>
  </w:style>
  <w:style w:type="paragraph" w:styleId="E-mailSignature">
    <w:name w:val="E-mail Signature"/>
    <w:basedOn w:val="Normal"/>
    <w:link w:val="E-mailSignatureChar"/>
    <w:uiPriority w:val="99"/>
    <w:semiHidden/>
    <w:unhideWhenUsed/>
    <w:rsid w:val="00BE1245"/>
    <w:pPr>
      <w:spacing w:line="240" w:lineRule="auto"/>
    </w:pPr>
  </w:style>
  <w:style w:type="character" w:customStyle="1" w:styleId="E-mailSignatureChar">
    <w:name w:val="E-mail Signature Char"/>
    <w:basedOn w:val="DefaultParagraphFont"/>
    <w:link w:val="E-mailSignature"/>
    <w:uiPriority w:val="99"/>
    <w:semiHidden/>
    <w:rsid w:val="00BE1245"/>
    <w:rPr>
      <w:kern w:val="18"/>
    </w:rPr>
  </w:style>
  <w:style w:type="character" w:styleId="Emphasis">
    <w:name w:val="Emphasis"/>
    <w:basedOn w:val="DefaultParagraphFont"/>
    <w:uiPriority w:val="20"/>
    <w:semiHidden/>
    <w:unhideWhenUsed/>
    <w:rsid w:val="00BE1245"/>
    <w:rPr>
      <w:i/>
      <w:iCs/>
    </w:rPr>
  </w:style>
  <w:style w:type="character" w:styleId="EndnoteReference">
    <w:name w:val="endnote reference"/>
    <w:basedOn w:val="DefaultParagraphFont"/>
    <w:uiPriority w:val="99"/>
    <w:semiHidden/>
    <w:unhideWhenUsed/>
    <w:rsid w:val="00BE1245"/>
    <w:rPr>
      <w:vertAlign w:val="superscript"/>
    </w:rPr>
  </w:style>
  <w:style w:type="paragraph" w:styleId="EndnoteText">
    <w:name w:val="endnote text"/>
    <w:basedOn w:val="Normal"/>
    <w:link w:val="EndnoteTextChar"/>
    <w:uiPriority w:val="99"/>
    <w:semiHidden/>
    <w:unhideWhenUsed/>
    <w:rsid w:val="00BE1245"/>
    <w:pPr>
      <w:spacing w:line="240" w:lineRule="auto"/>
    </w:pPr>
    <w:rPr>
      <w:sz w:val="20"/>
      <w:szCs w:val="20"/>
    </w:rPr>
  </w:style>
  <w:style w:type="character" w:customStyle="1" w:styleId="EndnoteTextChar">
    <w:name w:val="Endnote Text Char"/>
    <w:basedOn w:val="DefaultParagraphFont"/>
    <w:link w:val="EndnoteText"/>
    <w:uiPriority w:val="99"/>
    <w:semiHidden/>
    <w:rsid w:val="00BE1245"/>
    <w:rPr>
      <w:kern w:val="18"/>
      <w:sz w:val="20"/>
      <w:szCs w:val="20"/>
    </w:rPr>
  </w:style>
  <w:style w:type="paragraph" w:styleId="EnvelopeAddress">
    <w:name w:val="envelope address"/>
    <w:basedOn w:val="Normal"/>
    <w:uiPriority w:val="99"/>
    <w:semiHidden/>
    <w:unhideWhenUsed/>
    <w:rsid w:val="00BE124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E1245"/>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BE1245"/>
  </w:style>
  <w:style w:type="paragraph" w:styleId="HTMLAddress">
    <w:name w:val="HTML Address"/>
    <w:basedOn w:val="Normal"/>
    <w:link w:val="HTMLAddressChar"/>
    <w:uiPriority w:val="99"/>
    <w:semiHidden/>
    <w:unhideWhenUsed/>
    <w:rsid w:val="00BE1245"/>
    <w:pPr>
      <w:spacing w:line="240" w:lineRule="auto"/>
    </w:pPr>
    <w:rPr>
      <w:i/>
      <w:iCs/>
    </w:rPr>
  </w:style>
  <w:style w:type="character" w:customStyle="1" w:styleId="HTMLAddressChar">
    <w:name w:val="HTML Address Char"/>
    <w:basedOn w:val="DefaultParagraphFont"/>
    <w:link w:val="HTMLAddress"/>
    <w:uiPriority w:val="99"/>
    <w:semiHidden/>
    <w:rsid w:val="00BE1245"/>
    <w:rPr>
      <w:i/>
      <w:iCs/>
      <w:kern w:val="18"/>
    </w:rPr>
  </w:style>
  <w:style w:type="character" w:styleId="HTMLCite">
    <w:name w:val="HTML Cite"/>
    <w:basedOn w:val="DefaultParagraphFont"/>
    <w:uiPriority w:val="99"/>
    <w:semiHidden/>
    <w:unhideWhenUsed/>
    <w:rsid w:val="00BE1245"/>
    <w:rPr>
      <w:i/>
      <w:iCs/>
    </w:rPr>
  </w:style>
  <w:style w:type="character" w:styleId="HTMLCode">
    <w:name w:val="HTML Code"/>
    <w:basedOn w:val="DefaultParagraphFont"/>
    <w:uiPriority w:val="99"/>
    <w:semiHidden/>
    <w:unhideWhenUsed/>
    <w:rsid w:val="00BE1245"/>
    <w:rPr>
      <w:rFonts w:ascii="Consolas" w:hAnsi="Consolas"/>
      <w:sz w:val="20"/>
      <w:szCs w:val="20"/>
    </w:rPr>
  </w:style>
  <w:style w:type="character" w:styleId="HTMLDefinition">
    <w:name w:val="HTML Definition"/>
    <w:basedOn w:val="DefaultParagraphFont"/>
    <w:uiPriority w:val="99"/>
    <w:semiHidden/>
    <w:unhideWhenUsed/>
    <w:rsid w:val="00BE1245"/>
    <w:rPr>
      <w:i/>
      <w:iCs/>
    </w:rPr>
  </w:style>
  <w:style w:type="character" w:styleId="HTMLKeyboard">
    <w:name w:val="HTML Keyboard"/>
    <w:basedOn w:val="DefaultParagraphFont"/>
    <w:uiPriority w:val="99"/>
    <w:semiHidden/>
    <w:unhideWhenUsed/>
    <w:rsid w:val="00BE1245"/>
    <w:rPr>
      <w:rFonts w:ascii="Consolas" w:hAnsi="Consolas"/>
      <w:sz w:val="20"/>
      <w:szCs w:val="20"/>
    </w:rPr>
  </w:style>
  <w:style w:type="paragraph" w:styleId="HTMLPreformatted">
    <w:name w:val="HTML Preformatted"/>
    <w:basedOn w:val="Normal"/>
    <w:link w:val="HTMLPreformattedChar"/>
    <w:uiPriority w:val="99"/>
    <w:semiHidden/>
    <w:unhideWhenUsed/>
    <w:rsid w:val="00BE124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1245"/>
    <w:rPr>
      <w:rFonts w:ascii="Consolas" w:hAnsi="Consolas"/>
      <w:kern w:val="18"/>
      <w:sz w:val="20"/>
      <w:szCs w:val="20"/>
    </w:rPr>
  </w:style>
  <w:style w:type="character" w:styleId="HTMLSample">
    <w:name w:val="HTML Sample"/>
    <w:basedOn w:val="DefaultParagraphFont"/>
    <w:uiPriority w:val="99"/>
    <w:semiHidden/>
    <w:unhideWhenUsed/>
    <w:rsid w:val="00BE1245"/>
    <w:rPr>
      <w:rFonts w:ascii="Consolas" w:hAnsi="Consolas"/>
      <w:sz w:val="24"/>
      <w:szCs w:val="24"/>
    </w:rPr>
  </w:style>
  <w:style w:type="character" w:styleId="HTMLTypewriter">
    <w:name w:val="HTML Typewriter"/>
    <w:basedOn w:val="DefaultParagraphFont"/>
    <w:uiPriority w:val="99"/>
    <w:semiHidden/>
    <w:unhideWhenUsed/>
    <w:rsid w:val="00BE1245"/>
    <w:rPr>
      <w:rFonts w:ascii="Consolas" w:hAnsi="Consolas"/>
      <w:sz w:val="20"/>
      <w:szCs w:val="20"/>
    </w:rPr>
  </w:style>
  <w:style w:type="character" w:styleId="HTMLVariable">
    <w:name w:val="HTML Variable"/>
    <w:basedOn w:val="DefaultParagraphFont"/>
    <w:uiPriority w:val="99"/>
    <w:semiHidden/>
    <w:unhideWhenUsed/>
    <w:rsid w:val="00BE1245"/>
    <w:rPr>
      <w:i/>
      <w:iCs/>
    </w:rPr>
  </w:style>
  <w:style w:type="paragraph" w:styleId="Index1">
    <w:name w:val="index 1"/>
    <w:basedOn w:val="Normal"/>
    <w:next w:val="Normal"/>
    <w:autoRedefine/>
    <w:uiPriority w:val="99"/>
    <w:semiHidden/>
    <w:unhideWhenUsed/>
    <w:rsid w:val="00BE1245"/>
    <w:pPr>
      <w:spacing w:line="240" w:lineRule="auto"/>
      <w:ind w:left="180" w:hanging="180"/>
    </w:pPr>
  </w:style>
  <w:style w:type="paragraph" w:styleId="Index2">
    <w:name w:val="index 2"/>
    <w:basedOn w:val="Normal"/>
    <w:next w:val="Normal"/>
    <w:autoRedefine/>
    <w:uiPriority w:val="99"/>
    <w:semiHidden/>
    <w:unhideWhenUsed/>
    <w:rsid w:val="00BE1245"/>
    <w:pPr>
      <w:spacing w:line="240" w:lineRule="auto"/>
      <w:ind w:left="360" w:hanging="180"/>
    </w:pPr>
  </w:style>
  <w:style w:type="paragraph" w:styleId="Index3">
    <w:name w:val="index 3"/>
    <w:basedOn w:val="Normal"/>
    <w:next w:val="Normal"/>
    <w:autoRedefine/>
    <w:uiPriority w:val="99"/>
    <w:semiHidden/>
    <w:unhideWhenUsed/>
    <w:rsid w:val="00BE1245"/>
    <w:pPr>
      <w:spacing w:line="240" w:lineRule="auto"/>
      <w:ind w:left="540" w:hanging="180"/>
    </w:pPr>
  </w:style>
  <w:style w:type="paragraph" w:styleId="Index4">
    <w:name w:val="index 4"/>
    <w:basedOn w:val="Normal"/>
    <w:next w:val="Normal"/>
    <w:autoRedefine/>
    <w:uiPriority w:val="99"/>
    <w:semiHidden/>
    <w:unhideWhenUsed/>
    <w:rsid w:val="00BE1245"/>
    <w:pPr>
      <w:spacing w:line="240" w:lineRule="auto"/>
      <w:ind w:left="720" w:hanging="180"/>
    </w:pPr>
  </w:style>
  <w:style w:type="paragraph" w:styleId="Index5">
    <w:name w:val="index 5"/>
    <w:basedOn w:val="Normal"/>
    <w:next w:val="Normal"/>
    <w:autoRedefine/>
    <w:uiPriority w:val="99"/>
    <w:semiHidden/>
    <w:unhideWhenUsed/>
    <w:rsid w:val="00BE1245"/>
    <w:pPr>
      <w:spacing w:line="240" w:lineRule="auto"/>
      <w:ind w:left="900" w:hanging="180"/>
    </w:pPr>
  </w:style>
  <w:style w:type="paragraph" w:styleId="Index6">
    <w:name w:val="index 6"/>
    <w:basedOn w:val="Normal"/>
    <w:next w:val="Normal"/>
    <w:autoRedefine/>
    <w:uiPriority w:val="99"/>
    <w:semiHidden/>
    <w:unhideWhenUsed/>
    <w:rsid w:val="00BE1245"/>
    <w:pPr>
      <w:spacing w:line="240" w:lineRule="auto"/>
      <w:ind w:left="1080" w:hanging="180"/>
    </w:pPr>
  </w:style>
  <w:style w:type="paragraph" w:styleId="Index7">
    <w:name w:val="index 7"/>
    <w:basedOn w:val="Normal"/>
    <w:next w:val="Normal"/>
    <w:autoRedefine/>
    <w:uiPriority w:val="99"/>
    <w:semiHidden/>
    <w:unhideWhenUsed/>
    <w:rsid w:val="00BE1245"/>
    <w:pPr>
      <w:spacing w:line="240" w:lineRule="auto"/>
      <w:ind w:left="1260" w:hanging="180"/>
    </w:pPr>
  </w:style>
  <w:style w:type="paragraph" w:styleId="Index8">
    <w:name w:val="index 8"/>
    <w:basedOn w:val="Normal"/>
    <w:next w:val="Normal"/>
    <w:autoRedefine/>
    <w:uiPriority w:val="99"/>
    <w:semiHidden/>
    <w:unhideWhenUsed/>
    <w:rsid w:val="00BE1245"/>
    <w:pPr>
      <w:spacing w:line="240" w:lineRule="auto"/>
      <w:ind w:left="1440" w:hanging="180"/>
    </w:pPr>
  </w:style>
  <w:style w:type="paragraph" w:styleId="Index9">
    <w:name w:val="index 9"/>
    <w:basedOn w:val="Normal"/>
    <w:next w:val="Normal"/>
    <w:autoRedefine/>
    <w:uiPriority w:val="99"/>
    <w:semiHidden/>
    <w:unhideWhenUsed/>
    <w:rsid w:val="00BE1245"/>
    <w:pPr>
      <w:spacing w:line="240" w:lineRule="auto"/>
      <w:ind w:left="1620" w:hanging="180"/>
    </w:pPr>
  </w:style>
  <w:style w:type="paragraph" w:styleId="IndexHeading">
    <w:name w:val="index heading"/>
    <w:basedOn w:val="Normal"/>
    <w:next w:val="Index1"/>
    <w:uiPriority w:val="99"/>
    <w:semiHidden/>
    <w:unhideWhenUsed/>
    <w:rsid w:val="00BE1245"/>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BE1245"/>
    <w:rPr>
      <w:b/>
      <w:bCs/>
      <w:i/>
      <w:iCs/>
      <w:color w:val="00B5E2" w:themeColor="accent1"/>
    </w:rPr>
  </w:style>
  <w:style w:type="paragraph" w:styleId="IntenseQuote">
    <w:name w:val="Intense Quote"/>
    <w:basedOn w:val="Normal"/>
    <w:next w:val="Normal"/>
    <w:link w:val="IntenseQuoteChar"/>
    <w:uiPriority w:val="30"/>
    <w:semiHidden/>
    <w:unhideWhenUsed/>
    <w:rsid w:val="00BE1245"/>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BE1245"/>
    <w:rPr>
      <w:b/>
      <w:bCs/>
      <w:i/>
      <w:iCs/>
      <w:color w:val="00B5E2" w:themeColor="accent1"/>
      <w:kern w:val="18"/>
    </w:rPr>
  </w:style>
  <w:style w:type="character" w:styleId="IntenseReference">
    <w:name w:val="Intense Reference"/>
    <w:basedOn w:val="DefaultParagraphFont"/>
    <w:uiPriority w:val="32"/>
    <w:semiHidden/>
    <w:unhideWhenUsed/>
    <w:rsid w:val="00BE1245"/>
    <w:rPr>
      <w:b/>
      <w:bCs/>
      <w:smallCaps/>
      <w:color w:val="84BD00" w:themeColor="accent2"/>
      <w:spacing w:val="5"/>
      <w:u w:val="single"/>
    </w:rPr>
  </w:style>
  <w:style w:type="character" w:styleId="LineNumber">
    <w:name w:val="line number"/>
    <w:basedOn w:val="DefaultParagraphFont"/>
    <w:uiPriority w:val="99"/>
    <w:semiHidden/>
    <w:unhideWhenUsed/>
    <w:rsid w:val="00BE1245"/>
  </w:style>
  <w:style w:type="paragraph" w:styleId="List">
    <w:name w:val="List"/>
    <w:basedOn w:val="Normal"/>
    <w:uiPriority w:val="99"/>
    <w:semiHidden/>
    <w:unhideWhenUsed/>
    <w:rsid w:val="00BE1245"/>
    <w:pPr>
      <w:ind w:left="283" w:hanging="283"/>
      <w:contextualSpacing/>
    </w:pPr>
  </w:style>
  <w:style w:type="paragraph" w:styleId="List2">
    <w:name w:val="List 2"/>
    <w:basedOn w:val="Normal"/>
    <w:uiPriority w:val="99"/>
    <w:semiHidden/>
    <w:unhideWhenUsed/>
    <w:rsid w:val="00BE1245"/>
    <w:pPr>
      <w:ind w:left="566" w:hanging="283"/>
      <w:contextualSpacing/>
    </w:pPr>
  </w:style>
  <w:style w:type="paragraph" w:styleId="List3">
    <w:name w:val="List 3"/>
    <w:basedOn w:val="Normal"/>
    <w:uiPriority w:val="99"/>
    <w:semiHidden/>
    <w:unhideWhenUsed/>
    <w:rsid w:val="00BE1245"/>
    <w:pPr>
      <w:ind w:left="849" w:hanging="283"/>
      <w:contextualSpacing/>
    </w:pPr>
  </w:style>
  <w:style w:type="paragraph" w:styleId="List4">
    <w:name w:val="List 4"/>
    <w:basedOn w:val="Normal"/>
    <w:uiPriority w:val="99"/>
    <w:semiHidden/>
    <w:unhideWhenUsed/>
    <w:rsid w:val="00BE1245"/>
    <w:pPr>
      <w:ind w:left="1132" w:hanging="283"/>
      <w:contextualSpacing/>
    </w:pPr>
  </w:style>
  <w:style w:type="paragraph" w:styleId="List5">
    <w:name w:val="List 5"/>
    <w:basedOn w:val="Normal"/>
    <w:uiPriority w:val="99"/>
    <w:semiHidden/>
    <w:unhideWhenUsed/>
    <w:rsid w:val="00BE1245"/>
    <w:pPr>
      <w:ind w:left="1415" w:hanging="283"/>
      <w:contextualSpacing/>
    </w:pPr>
  </w:style>
  <w:style w:type="paragraph" w:styleId="ListBullet4">
    <w:name w:val="List Bullet 4"/>
    <w:basedOn w:val="Normal"/>
    <w:uiPriority w:val="99"/>
    <w:semiHidden/>
    <w:unhideWhenUsed/>
    <w:rsid w:val="00BE1245"/>
    <w:pPr>
      <w:numPr>
        <w:numId w:val="1"/>
      </w:numPr>
      <w:contextualSpacing/>
    </w:pPr>
  </w:style>
  <w:style w:type="paragraph" w:styleId="ListBullet5">
    <w:name w:val="List Bullet 5"/>
    <w:basedOn w:val="Normal"/>
    <w:uiPriority w:val="99"/>
    <w:semiHidden/>
    <w:unhideWhenUsed/>
    <w:rsid w:val="00BE1245"/>
    <w:pPr>
      <w:numPr>
        <w:numId w:val="2"/>
      </w:numPr>
      <w:contextualSpacing/>
    </w:pPr>
  </w:style>
  <w:style w:type="paragraph" w:styleId="ListContinue">
    <w:name w:val="List Continue"/>
    <w:basedOn w:val="Normal"/>
    <w:uiPriority w:val="99"/>
    <w:semiHidden/>
    <w:unhideWhenUsed/>
    <w:rsid w:val="00BE1245"/>
    <w:pPr>
      <w:spacing w:after="120"/>
      <w:ind w:left="283"/>
      <w:contextualSpacing/>
    </w:pPr>
  </w:style>
  <w:style w:type="paragraph" w:styleId="ListContinue2">
    <w:name w:val="List Continue 2"/>
    <w:basedOn w:val="Normal"/>
    <w:uiPriority w:val="99"/>
    <w:semiHidden/>
    <w:unhideWhenUsed/>
    <w:rsid w:val="00BE1245"/>
    <w:pPr>
      <w:spacing w:after="120"/>
      <w:ind w:left="566"/>
      <w:contextualSpacing/>
    </w:pPr>
  </w:style>
  <w:style w:type="paragraph" w:styleId="ListContinue3">
    <w:name w:val="List Continue 3"/>
    <w:basedOn w:val="Normal"/>
    <w:uiPriority w:val="99"/>
    <w:semiHidden/>
    <w:unhideWhenUsed/>
    <w:rsid w:val="00BE1245"/>
    <w:pPr>
      <w:spacing w:after="120"/>
      <w:ind w:left="849"/>
      <w:contextualSpacing/>
    </w:pPr>
  </w:style>
  <w:style w:type="paragraph" w:styleId="ListContinue4">
    <w:name w:val="List Continue 4"/>
    <w:basedOn w:val="Normal"/>
    <w:uiPriority w:val="99"/>
    <w:semiHidden/>
    <w:unhideWhenUsed/>
    <w:rsid w:val="00BE1245"/>
    <w:pPr>
      <w:spacing w:after="120"/>
      <w:ind w:left="1132"/>
      <w:contextualSpacing/>
    </w:pPr>
  </w:style>
  <w:style w:type="paragraph" w:styleId="ListContinue5">
    <w:name w:val="List Continue 5"/>
    <w:basedOn w:val="Normal"/>
    <w:uiPriority w:val="99"/>
    <w:semiHidden/>
    <w:unhideWhenUsed/>
    <w:rsid w:val="00BE1245"/>
    <w:pPr>
      <w:spacing w:after="120"/>
      <w:ind w:left="1415"/>
      <w:contextualSpacing/>
    </w:pPr>
  </w:style>
  <w:style w:type="paragraph" w:styleId="ListNumber4">
    <w:name w:val="List Number 4"/>
    <w:basedOn w:val="Normal"/>
    <w:uiPriority w:val="99"/>
    <w:semiHidden/>
    <w:unhideWhenUsed/>
    <w:rsid w:val="00BE1245"/>
    <w:pPr>
      <w:numPr>
        <w:numId w:val="3"/>
      </w:numPr>
      <w:contextualSpacing/>
    </w:pPr>
  </w:style>
  <w:style w:type="paragraph" w:styleId="ListNumber5">
    <w:name w:val="List Number 5"/>
    <w:basedOn w:val="Normal"/>
    <w:uiPriority w:val="99"/>
    <w:semiHidden/>
    <w:unhideWhenUsed/>
    <w:rsid w:val="00BE1245"/>
    <w:pPr>
      <w:numPr>
        <w:numId w:val="4"/>
      </w:numPr>
      <w:contextualSpacing/>
    </w:pPr>
  </w:style>
  <w:style w:type="paragraph" w:styleId="ListParagraph">
    <w:name w:val="List Paragraph"/>
    <w:basedOn w:val="Normal"/>
    <w:link w:val="ListParagraphChar"/>
    <w:uiPriority w:val="34"/>
    <w:unhideWhenUsed/>
    <w:qFormat/>
    <w:rsid w:val="00BE1245"/>
    <w:pPr>
      <w:ind w:left="720"/>
      <w:contextualSpacing/>
    </w:pPr>
  </w:style>
  <w:style w:type="paragraph" w:styleId="MacroText">
    <w:name w:val="macro"/>
    <w:link w:val="MacroTextChar"/>
    <w:uiPriority w:val="99"/>
    <w:semiHidden/>
    <w:unhideWhenUsed/>
    <w:rsid w:val="00BE1245"/>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kern w:val="18"/>
      <w:sz w:val="20"/>
      <w:szCs w:val="20"/>
    </w:rPr>
  </w:style>
  <w:style w:type="character" w:customStyle="1" w:styleId="MacroTextChar">
    <w:name w:val="Macro Text Char"/>
    <w:basedOn w:val="DefaultParagraphFont"/>
    <w:link w:val="MacroText"/>
    <w:uiPriority w:val="99"/>
    <w:semiHidden/>
    <w:rsid w:val="00BE1245"/>
    <w:rPr>
      <w:rFonts w:ascii="Consolas" w:hAnsi="Consolas"/>
      <w:kern w:val="18"/>
      <w:sz w:val="20"/>
      <w:szCs w:val="20"/>
    </w:rPr>
  </w:style>
  <w:style w:type="paragraph" w:styleId="MessageHeader">
    <w:name w:val="Message Header"/>
    <w:basedOn w:val="Normal"/>
    <w:link w:val="MessageHeaderChar"/>
    <w:uiPriority w:val="99"/>
    <w:semiHidden/>
    <w:unhideWhenUsed/>
    <w:rsid w:val="00BE124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E1245"/>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BE1245"/>
    <w:rPr>
      <w:kern w:val="18"/>
    </w:rPr>
  </w:style>
  <w:style w:type="paragraph" w:styleId="NormalWeb">
    <w:name w:val="Normal (Web)"/>
    <w:basedOn w:val="Normal"/>
    <w:uiPriority w:val="99"/>
    <w:semiHidden/>
    <w:unhideWhenUsed/>
    <w:rsid w:val="00BE1245"/>
    <w:rPr>
      <w:rFonts w:ascii="Times New Roman" w:hAnsi="Times New Roman" w:cs="Times New Roman"/>
      <w:sz w:val="24"/>
      <w:szCs w:val="24"/>
    </w:rPr>
  </w:style>
  <w:style w:type="paragraph" w:styleId="NormalIndent">
    <w:name w:val="Normal Indent"/>
    <w:basedOn w:val="Normal"/>
    <w:uiPriority w:val="99"/>
    <w:semiHidden/>
    <w:unhideWhenUsed/>
    <w:rsid w:val="00BE1245"/>
    <w:pPr>
      <w:ind w:left="720"/>
    </w:pPr>
  </w:style>
  <w:style w:type="paragraph" w:styleId="NoteHeading">
    <w:name w:val="Note Heading"/>
    <w:basedOn w:val="Normal"/>
    <w:next w:val="Normal"/>
    <w:link w:val="NoteHeadingChar"/>
    <w:uiPriority w:val="99"/>
    <w:semiHidden/>
    <w:unhideWhenUsed/>
    <w:rsid w:val="00BE1245"/>
    <w:pPr>
      <w:spacing w:line="240" w:lineRule="auto"/>
    </w:pPr>
  </w:style>
  <w:style w:type="character" w:customStyle="1" w:styleId="NoteHeadingChar">
    <w:name w:val="Note Heading Char"/>
    <w:basedOn w:val="DefaultParagraphFont"/>
    <w:link w:val="NoteHeading"/>
    <w:uiPriority w:val="99"/>
    <w:semiHidden/>
    <w:rsid w:val="00BE1245"/>
    <w:rPr>
      <w:kern w:val="18"/>
    </w:rPr>
  </w:style>
  <w:style w:type="character" w:styleId="PageNumber">
    <w:name w:val="page number"/>
    <w:basedOn w:val="DefaultParagraphFont"/>
    <w:uiPriority w:val="99"/>
    <w:semiHidden/>
    <w:unhideWhenUsed/>
    <w:rsid w:val="00BE1245"/>
  </w:style>
  <w:style w:type="character" w:styleId="PlaceholderText">
    <w:name w:val="Placeholder Text"/>
    <w:basedOn w:val="DefaultParagraphFont"/>
    <w:uiPriority w:val="99"/>
    <w:semiHidden/>
    <w:unhideWhenUsed/>
    <w:rsid w:val="00BE1245"/>
    <w:rPr>
      <w:color w:val="808080"/>
    </w:rPr>
  </w:style>
  <w:style w:type="paragraph" w:styleId="PlainText">
    <w:name w:val="Plain Text"/>
    <w:basedOn w:val="Normal"/>
    <w:link w:val="PlainTextChar"/>
    <w:uiPriority w:val="99"/>
    <w:semiHidden/>
    <w:unhideWhenUsed/>
    <w:rsid w:val="00BE124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E1245"/>
    <w:rPr>
      <w:rFonts w:ascii="Consolas" w:hAnsi="Consolas"/>
      <w:kern w:val="18"/>
      <w:sz w:val="21"/>
      <w:szCs w:val="21"/>
    </w:rPr>
  </w:style>
  <w:style w:type="paragraph" w:styleId="Salutation">
    <w:name w:val="Salutation"/>
    <w:basedOn w:val="Normal"/>
    <w:next w:val="Normal"/>
    <w:link w:val="SalutationChar"/>
    <w:uiPriority w:val="99"/>
    <w:semiHidden/>
    <w:unhideWhenUsed/>
    <w:rsid w:val="00BE1245"/>
  </w:style>
  <w:style w:type="character" w:customStyle="1" w:styleId="SalutationChar">
    <w:name w:val="Salutation Char"/>
    <w:basedOn w:val="DefaultParagraphFont"/>
    <w:link w:val="Salutation"/>
    <w:uiPriority w:val="99"/>
    <w:semiHidden/>
    <w:rsid w:val="00BE1245"/>
    <w:rPr>
      <w:kern w:val="18"/>
    </w:rPr>
  </w:style>
  <w:style w:type="paragraph" w:styleId="Signature">
    <w:name w:val="Signature"/>
    <w:basedOn w:val="Normal"/>
    <w:link w:val="SignatureChar"/>
    <w:uiPriority w:val="99"/>
    <w:semiHidden/>
    <w:unhideWhenUsed/>
    <w:rsid w:val="00BE1245"/>
    <w:pPr>
      <w:spacing w:line="240" w:lineRule="auto"/>
      <w:ind w:left="4252"/>
    </w:pPr>
  </w:style>
  <w:style w:type="character" w:customStyle="1" w:styleId="SignatureChar">
    <w:name w:val="Signature Char"/>
    <w:basedOn w:val="DefaultParagraphFont"/>
    <w:link w:val="Signature"/>
    <w:uiPriority w:val="99"/>
    <w:semiHidden/>
    <w:rsid w:val="00BE1245"/>
    <w:rPr>
      <w:kern w:val="18"/>
    </w:rPr>
  </w:style>
  <w:style w:type="character" w:styleId="Strong">
    <w:name w:val="Strong"/>
    <w:basedOn w:val="DefaultParagraphFont"/>
    <w:uiPriority w:val="22"/>
    <w:semiHidden/>
    <w:unhideWhenUsed/>
    <w:rsid w:val="00BE1245"/>
    <w:rPr>
      <w:b/>
      <w:bCs/>
    </w:rPr>
  </w:style>
  <w:style w:type="paragraph" w:styleId="Subtitle">
    <w:name w:val="Subtitle"/>
    <w:basedOn w:val="Normal"/>
    <w:next w:val="Normal"/>
    <w:link w:val="SubtitleChar"/>
    <w:uiPriority w:val="11"/>
    <w:semiHidden/>
    <w:unhideWhenUsed/>
    <w:rsid w:val="00BE1245"/>
    <w:pPr>
      <w:numPr>
        <w:ilvl w:val="1"/>
      </w:numPr>
    </w:pPr>
    <w:rPr>
      <w:rFonts w:asciiTheme="majorHAnsi" w:eastAsiaTheme="majorEastAsia" w:hAnsiTheme="majorHAnsi" w:cstheme="majorBidi"/>
      <w:i/>
      <w:iCs/>
      <w:color w:val="00B5E2" w:themeColor="accent1"/>
      <w:spacing w:val="15"/>
      <w:sz w:val="24"/>
      <w:szCs w:val="24"/>
    </w:rPr>
  </w:style>
  <w:style w:type="character" w:customStyle="1" w:styleId="SubtitleChar">
    <w:name w:val="Subtitle Char"/>
    <w:basedOn w:val="DefaultParagraphFont"/>
    <w:link w:val="Subtitle"/>
    <w:uiPriority w:val="11"/>
    <w:semiHidden/>
    <w:rsid w:val="00BE1245"/>
    <w:rPr>
      <w:rFonts w:asciiTheme="majorHAnsi" w:eastAsiaTheme="majorEastAsia" w:hAnsiTheme="majorHAnsi" w:cstheme="majorBidi"/>
      <w:i/>
      <w:iCs/>
      <w:color w:val="00B5E2" w:themeColor="accent1"/>
      <w:spacing w:val="15"/>
      <w:kern w:val="18"/>
      <w:sz w:val="24"/>
      <w:szCs w:val="24"/>
    </w:rPr>
  </w:style>
  <w:style w:type="character" w:styleId="SubtleEmphasis">
    <w:name w:val="Subtle Emphasis"/>
    <w:basedOn w:val="DefaultParagraphFont"/>
    <w:uiPriority w:val="19"/>
    <w:semiHidden/>
    <w:unhideWhenUsed/>
    <w:rsid w:val="00BE1245"/>
    <w:rPr>
      <w:i/>
      <w:iCs/>
      <w:color w:val="808080" w:themeColor="text1" w:themeTint="7F"/>
    </w:rPr>
  </w:style>
  <w:style w:type="character" w:styleId="SubtleReference">
    <w:name w:val="Subtle Reference"/>
    <w:basedOn w:val="DefaultParagraphFont"/>
    <w:uiPriority w:val="31"/>
    <w:semiHidden/>
    <w:unhideWhenUsed/>
    <w:rsid w:val="00BE1245"/>
    <w:rPr>
      <w:smallCaps/>
      <w:color w:val="84BD00" w:themeColor="accent2"/>
      <w:u w:val="single"/>
    </w:rPr>
  </w:style>
  <w:style w:type="paragraph" w:styleId="TableofAuthorities">
    <w:name w:val="table of authorities"/>
    <w:basedOn w:val="Normal"/>
    <w:next w:val="Normal"/>
    <w:uiPriority w:val="99"/>
    <w:semiHidden/>
    <w:unhideWhenUsed/>
    <w:rsid w:val="00BE1245"/>
    <w:pPr>
      <w:ind w:left="180" w:hanging="180"/>
    </w:pPr>
  </w:style>
  <w:style w:type="paragraph" w:styleId="TableofFigures">
    <w:name w:val="table of figures"/>
    <w:basedOn w:val="Normal"/>
    <w:next w:val="Normal"/>
    <w:uiPriority w:val="99"/>
    <w:semiHidden/>
    <w:unhideWhenUsed/>
    <w:rsid w:val="00BE1245"/>
  </w:style>
  <w:style w:type="paragraph" w:styleId="TOAHeading">
    <w:name w:val="toa heading"/>
    <w:basedOn w:val="Normal"/>
    <w:next w:val="Normal"/>
    <w:uiPriority w:val="99"/>
    <w:semiHidden/>
    <w:unhideWhenUsed/>
    <w:rsid w:val="00BE124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E1245"/>
    <w:pPr>
      <w:spacing w:after="100"/>
    </w:pPr>
  </w:style>
  <w:style w:type="paragraph" w:styleId="TOC2">
    <w:name w:val="toc 2"/>
    <w:basedOn w:val="Normal"/>
    <w:next w:val="Normal"/>
    <w:autoRedefine/>
    <w:uiPriority w:val="39"/>
    <w:semiHidden/>
    <w:unhideWhenUsed/>
    <w:rsid w:val="00BE1245"/>
    <w:pPr>
      <w:spacing w:after="100"/>
    </w:pPr>
  </w:style>
  <w:style w:type="paragraph" w:styleId="TOC3">
    <w:name w:val="toc 3"/>
    <w:basedOn w:val="Normal"/>
    <w:next w:val="Normal"/>
    <w:autoRedefine/>
    <w:uiPriority w:val="39"/>
    <w:semiHidden/>
    <w:unhideWhenUsed/>
    <w:rsid w:val="00BE1245"/>
    <w:pPr>
      <w:spacing w:after="100"/>
    </w:pPr>
  </w:style>
  <w:style w:type="paragraph" w:styleId="TOC4">
    <w:name w:val="toc 4"/>
    <w:basedOn w:val="Normal"/>
    <w:next w:val="Normal"/>
    <w:autoRedefine/>
    <w:uiPriority w:val="39"/>
    <w:semiHidden/>
    <w:unhideWhenUsed/>
    <w:rsid w:val="00BE1245"/>
    <w:pPr>
      <w:spacing w:after="100"/>
    </w:pPr>
  </w:style>
  <w:style w:type="paragraph" w:styleId="TOC5">
    <w:name w:val="toc 5"/>
    <w:basedOn w:val="Normal"/>
    <w:next w:val="Normal"/>
    <w:autoRedefine/>
    <w:uiPriority w:val="39"/>
    <w:semiHidden/>
    <w:unhideWhenUsed/>
    <w:rsid w:val="00BE1245"/>
    <w:pPr>
      <w:spacing w:after="100"/>
      <w:ind w:left="720"/>
    </w:pPr>
  </w:style>
  <w:style w:type="paragraph" w:styleId="TOC6">
    <w:name w:val="toc 6"/>
    <w:basedOn w:val="Normal"/>
    <w:next w:val="Normal"/>
    <w:autoRedefine/>
    <w:uiPriority w:val="39"/>
    <w:semiHidden/>
    <w:unhideWhenUsed/>
    <w:rsid w:val="00BE1245"/>
    <w:pPr>
      <w:spacing w:after="100"/>
      <w:ind w:left="900"/>
    </w:pPr>
  </w:style>
  <w:style w:type="paragraph" w:styleId="TOC7">
    <w:name w:val="toc 7"/>
    <w:basedOn w:val="Normal"/>
    <w:next w:val="Normal"/>
    <w:autoRedefine/>
    <w:uiPriority w:val="39"/>
    <w:semiHidden/>
    <w:unhideWhenUsed/>
    <w:rsid w:val="00BE1245"/>
    <w:pPr>
      <w:spacing w:after="100"/>
      <w:ind w:left="1080"/>
    </w:pPr>
  </w:style>
  <w:style w:type="paragraph" w:styleId="TOC8">
    <w:name w:val="toc 8"/>
    <w:basedOn w:val="Normal"/>
    <w:next w:val="Normal"/>
    <w:autoRedefine/>
    <w:uiPriority w:val="39"/>
    <w:semiHidden/>
    <w:unhideWhenUsed/>
    <w:rsid w:val="00BE1245"/>
    <w:pPr>
      <w:spacing w:after="100"/>
      <w:ind w:left="1260"/>
    </w:pPr>
  </w:style>
  <w:style w:type="paragraph" w:styleId="TOC9">
    <w:name w:val="toc 9"/>
    <w:basedOn w:val="Normal"/>
    <w:next w:val="Normal"/>
    <w:autoRedefine/>
    <w:uiPriority w:val="39"/>
    <w:semiHidden/>
    <w:unhideWhenUsed/>
    <w:rsid w:val="00BE1245"/>
    <w:pPr>
      <w:spacing w:after="100"/>
      <w:ind w:left="1440"/>
    </w:pPr>
  </w:style>
  <w:style w:type="table" w:customStyle="1" w:styleId="AECOMcolouredtable">
    <w:name w:val="AECOM coloured table"/>
    <w:basedOn w:val="TableNormal"/>
    <w:uiPriority w:val="99"/>
    <w:semiHidden/>
    <w:unhideWhenUsed/>
    <w:rsid w:val="00255091"/>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5F9FF"/>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6F3FF" w:themeFill="accent1" w:themeFillTint="33"/>
      </w:tcPr>
    </w:tblStylePr>
  </w:style>
  <w:style w:type="paragraph" w:customStyle="1" w:styleId="Appendixheading2">
    <w:name w:val="Appendix heading 2"/>
    <w:basedOn w:val="Heading2"/>
    <w:next w:val="BodyText"/>
    <w:uiPriority w:val="7"/>
    <w:qFormat/>
    <w:rsid w:val="00404BE5"/>
  </w:style>
  <w:style w:type="paragraph" w:customStyle="1" w:styleId="Numberedtext">
    <w:name w:val="Numbered text"/>
    <w:basedOn w:val="BodyText"/>
    <w:uiPriority w:val="1"/>
    <w:qFormat/>
    <w:rsid w:val="00D8735B"/>
  </w:style>
  <w:style w:type="paragraph" w:customStyle="1" w:styleId="Heaning5">
    <w:name w:val="Heaning 5"/>
    <w:basedOn w:val="Normal"/>
    <w:semiHidden/>
    <w:unhideWhenUsed/>
    <w:rsid w:val="002C14B3"/>
    <w:pPr>
      <w:tabs>
        <w:tab w:val="left" w:pos="284"/>
      </w:tabs>
      <w:ind w:left="851" w:hanging="851"/>
    </w:pPr>
    <w:rPr>
      <w:rFonts w:ascii="Arial" w:hAnsi="Arial" w:cs="Arial"/>
      <w:sz w:val="20"/>
      <w:szCs w:val="20"/>
    </w:rPr>
  </w:style>
  <w:style w:type="paragraph" w:customStyle="1" w:styleId="Topicheading">
    <w:name w:val="Topic heading"/>
    <w:basedOn w:val="Heading1"/>
    <w:uiPriority w:val="1"/>
    <w:qFormat/>
    <w:rsid w:val="002C14B3"/>
    <w:pPr>
      <w:pBdr>
        <w:top w:val="single" w:sz="12" w:space="1" w:color="00B5E2" w:themeColor="accent1"/>
        <w:bottom w:val="single" w:sz="12" w:space="1" w:color="00B5E2" w:themeColor="accent1"/>
      </w:pBdr>
      <w:spacing w:before="180" w:after="180" w:line="264" w:lineRule="auto"/>
      <w:ind w:left="850" w:hanging="850"/>
    </w:pPr>
    <w:rPr>
      <w:sz w:val="36"/>
    </w:rPr>
  </w:style>
  <w:style w:type="character" w:customStyle="1" w:styleId="ListParagraphChar">
    <w:name w:val="List Paragraph Char"/>
    <w:link w:val="ListParagraph"/>
    <w:uiPriority w:val="34"/>
    <w:locked/>
    <w:rsid w:val="002C14B3"/>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24055">
      <w:bodyDiv w:val="1"/>
      <w:marLeft w:val="0"/>
      <w:marRight w:val="0"/>
      <w:marTop w:val="0"/>
      <w:marBottom w:val="0"/>
      <w:divBdr>
        <w:top w:val="none" w:sz="0" w:space="0" w:color="auto"/>
        <w:left w:val="none" w:sz="0" w:space="0" w:color="auto"/>
        <w:bottom w:val="none" w:sz="0" w:space="0" w:color="auto"/>
        <w:right w:val="none" w:sz="0" w:space="0" w:color="auto"/>
      </w:divBdr>
    </w:div>
    <w:div w:id="452335253">
      <w:bodyDiv w:val="1"/>
      <w:marLeft w:val="0"/>
      <w:marRight w:val="0"/>
      <w:marTop w:val="0"/>
      <w:marBottom w:val="0"/>
      <w:divBdr>
        <w:top w:val="none" w:sz="0" w:space="0" w:color="auto"/>
        <w:left w:val="none" w:sz="0" w:space="0" w:color="auto"/>
        <w:bottom w:val="none" w:sz="0" w:space="0" w:color="auto"/>
        <w:right w:val="none" w:sz="0" w:space="0" w:color="auto"/>
      </w:divBdr>
    </w:div>
    <w:div w:id="1621951812">
      <w:bodyDiv w:val="1"/>
      <w:marLeft w:val="0"/>
      <w:marRight w:val="0"/>
      <w:marTop w:val="0"/>
      <w:marBottom w:val="0"/>
      <w:divBdr>
        <w:top w:val="none" w:sz="0" w:space="0" w:color="auto"/>
        <w:left w:val="none" w:sz="0" w:space="0" w:color="auto"/>
        <w:bottom w:val="none" w:sz="0" w:space="0" w:color="auto"/>
        <w:right w:val="none" w:sz="0" w:space="0" w:color="auto"/>
      </w:divBdr>
    </w:div>
    <w:div w:id="20143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fessey@aecom.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lewisham.gov.uk/myservices/planning/policy/ldf/site-allocations/site-allocations-local-plan" TargetMode="External"/><Relationship Id="rId1" Type="http://schemas.openxmlformats.org/officeDocument/2006/relationships/hyperlink" Target="https://www.gov.uk/guidance/strategic-environmental-assessment-and-sustainability-apprais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amy.funnell\AppData\Roaming\Microsoft\Templates\AECOM_Blank.dotm" TargetMode="External"/></Relationships>
</file>

<file path=word/theme/theme1.xml><?xml version="1.0" encoding="utf-8"?>
<a:theme xmlns:a="http://schemas.openxmlformats.org/drawingml/2006/main" name="Office Theme">
  <a:themeElements>
    <a:clrScheme name="AECOM Black">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S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F050B-D180-4D24-B558-848FC7D6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AECOM_Blank</Template>
  <TotalTime>1</TotalTime>
  <Pages>9</Pages>
  <Words>3108</Words>
  <Characters>17722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AECOM Blank</vt:lpstr>
    </vt:vector>
  </TitlesOfParts>
  <Company>AECOM</Company>
  <LinksUpToDate>false</LinksUpToDate>
  <CharactersWithSpaces>20789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AECOM Blank</dc:title>
  <dc:creator>Ashton, Nicola</dc:creator>
  <cp:lastModifiedBy>Robins, Julia</cp:lastModifiedBy>
  <cp:revision>2</cp:revision>
  <cp:lastPrinted>2019-10-21T13:04:00Z</cp:lastPrinted>
  <dcterms:created xsi:type="dcterms:W3CDTF">2019-10-21T14:47:00Z</dcterms:created>
  <dcterms:modified xsi:type="dcterms:W3CDTF">2019-10-21T14:47:00Z</dcterms:modified>
  <cp:category>Blank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AECOM_Blank</vt:lpwstr>
  </property>
  <property fmtid="{D5CDD505-2E9C-101B-9397-08002B2CF9AE}" pid="3" name="TemplateVersion">
    <vt:lpwstr>2.4</vt:lpwstr>
  </property>
</Properties>
</file>