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1D" w:rsidRPr="004A411D" w:rsidRDefault="00010117" w:rsidP="004A411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PROPOSED DEPTFORD HIGH STREET AND ST PAUL’S CHRUCH </w:t>
      </w:r>
      <w:r w:rsidR="004A411D" w:rsidRPr="004A411D">
        <w:rPr>
          <w:rFonts w:ascii="Arial" w:hAnsi="Arial" w:cs="Arial"/>
          <w:b/>
        </w:rPr>
        <w:t>CONSERVAT</w:t>
      </w:r>
      <w:r w:rsidR="004A411D">
        <w:rPr>
          <w:rFonts w:ascii="Arial" w:hAnsi="Arial" w:cs="Arial"/>
          <w:b/>
        </w:rPr>
        <w:t>I</w:t>
      </w:r>
      <w:r w:rsidR="004A411D" w:rsidRPr="004A411D">
        <w:rPr>
          <w:rFonts w:ascii="Arial" w:hAnsi="Arial" w:cs="Arial"/>
          <w:b/>
        </w:rPr>
        <w:t xml:space="preserve">ON AREA DRAFT ARTICLE 4 DIRECTION </w:t>
      </w:r>
    </w:p>
    <w:p w:rsidR="004A411D" w:rsidRPr="004A411D" w:rsidRDefault="004A411D" w:rsidP="004A411D">
      <w:pPr>
        <w:rPr>
          <w:rFonts w:ascii="Arial" w:hAnsi="Arial" w:cs="Arial"/>
        </w:rPr>
      </w:pPr>
      <w:r w:rsidRPr="004A411D">
        <w:rPr>
          <w:rFonts w:ascii="Arial" w:hAnsi="Arial" w:cs="Arial"/>
        </w:rPr>
        <w:t xml:space="preserve"> </w:t>
      </w:r>
    </w:p>
    <w:p w:rsidR="004A411D" w:rsidRPr="004A411D" w:rsidRDefault="004A411D" w:rsidP="004A411D">
      <w:pPr>
        <w:rPr>
          <w:rFonts w:ascii="Arial" w:hAnsi="Arial" w:cs="Arial"/>
          <w:b/>
        </w:rPr>
      </w:pPr>
      <w:r w:rsidRPr="004A411D">
        <w:rPr>
          <w:rFonts w:ascii="Arial" w:hAnsi="Arial" w:cs="Arial"/>
          <w:b/>
        </w:rPr>
        <w:t xml:space="preserve">TOWN AND COUNTRY PLANNING (GENERAL PERMITTED DEVELOPMENT) </w:t>
      </w:r>
    </w:p>
    <w:p w:rsidR="004A411D" w:rsidRPr="004A411D" w:rsidRDefault="004A411D" w:rsidP="004A411D">
      <w:pPr>
        <w:rPr>
          <w:rFonts w:ascii="Arial" w:hAnsi="Arial" w:cs="Arial"/>
          <w:b/>
        </w:rPr>
      </w:pPr>
      <w:r w:rsidRPr="004A411D">
        <w:rPr>
          <w:rFonts w:ascii="Arial" w:hAnsi="Arial" w:cs="Arial"/>
          <w:b/>
        </w:rPr>
        <w:t>(</w:t>
      </w:r>
      <w:r w:rsidR="00C025CD" w:rsidRPr="004A411D">
        <w:rPr>
          <w:rFonts w:ascii="Arial" w:hAnsi="Arial" w:cs="Arial"/>
          <w:b/>
        </w:rPr>
        <w:t>ENGLAND</w:t>
      </w:r>
      <w:r w:rsidRPr="004A411D">
        <w:rPr>
          <w:rFonts w:ascii="Arial" w:hAnsi="Arial" w:cs="Arial"/>
          <w:b/>
        </w:rPr>
        <w:t xml:space="preserve">) ORDER 2015  </w:t>
      </w:r>
    </w:p>
    <w:p w:rsidR="004A411D" w:rsidRPr="004A411D" w:rsidRDefault="004A411D" w:rsidP="004A411D">
      <w:pPr>
        <w:rPr>
          <w:rFonts w:ascii="Arial" w:hAnsi="Arial" w:cs="Arial"/>
        </w:rPr>
      </w:pPr>
      <w:r w:rsidRPr="004A411D">
        <w:rPr>
          <w:rFonts w:ascii="Arial" w:hAnsi="Arial" w:cs="Arial"/>
        </w:rPr>
        <w:t xml:space="preserve"> </w:t>
      </w:r>
    </w:p>
    <w:p w:rsidR="004A411D" w:rsidRPr="004A411D" w:rsidRDefault="004A411D" w:rsidP="004A411D">
      <w:pPr>
        <w:rPr>
          <w:rFonts w:ascii="Arial" w:hAnsi="Arial" w:cs="Arial"/>
          <w:b/>
        </w:rPr>
      </w:pPr>
      <w:r w:rsidRPr="004A411D">
        <w:rPr>
          <w:rFonts w:ascii="Arial" w:hAnsi="Arial" w:cs="Arial"/>
          <w:b/>
        </w:rPr>
        <w:t xml:space="preserve">DIRECTION MADE UNDER ARTICLE 4(1)   </w:t>
      </w:r>
    </w:p>
    <w:p w:rsidR="004A411D" w:rsidRPr="004A411D" w:rsidRDefault="004A411D" w:rsidP="004A411D">
      <w:pPr>
        <w:rPr>
          <w:rFonts w:ascii="Arial" w:hAnsi="Arial" w:cs="Arial"/>
        </w:rPr>
      </w:pPr>
      <w:r w:rsidRPr="004A411D">
        <w:rPr>
          <w:rFonts w:ascii="Arial" w:hAnsi="Arial" w:cs="Arial"/>
        </w:rPr>
        <w:t xml:space="preserve"> </w:t>
      </w:r>
    </w:p>
    <w:p w:rsidR="004A411D" w:rsidRPr="004A411D" w:rsidRDefault="004A411D" w:rsidP="004A411D">
      <w:pPr>
        <w:rPr>
          <w:rFonts w:ascii="Arial" w:hAnsi="Arial" w:cs="Arial"/>
        </w:rPr>
      </w:pPr>
      <w:r w:rsidRPr="004A411D">
        <w:rPr>
          <w:rFonts w:ascii="Arial" w:hAnsi="Arial" w:cs="Arial"/>
          <w:b/>
        </w:rPr>
        <w:t>WHEREAS THE LONDON BOROUGH OF LEWISHAM</w:t>
      </w:r>
      <w:r w:rsidRPr="004A411D">
        <w:rPr>
          <w:rFonts w:ascii="Arial" w:hAnsi="Arial" w:cs="Arial"/>
        </w:rPr>
        <w:t xml:space="preserve"> being the appropriate local planning authority within the meaning of article 4(</w:t>
      </w:r>
      <w:r>
        <w:rPr>
          <w:rFonts w:ascii="Arial" w:hAnsi="Arial" w:cs="Arial"/>
        </w:rPr>
        <w:t>5</w:t>
      </w:r>
      <w:r w:rsidRPr="004A411D">
        <w:rPr>
          <w:rFonts w:ascii="Arial" w:hAnsi="Arial" w:cs="Arial"/>
        </w:rPr>
        <w:t xml:space="preserve">) of the </w:t>
      </w:r>
      <w:r w:rsidR="005C4957">
        <w:rPr>
          <w:rFonts w:ascii="Arial" w:hAnsi="Arial" w:cs="Arial"/>
        </w:rPr>
        <w:t>Town and Country Planning (General Permitted Development) (England) Order 2015 as amended (“the Order”)</w:t>
      </w:r>
      <w:r w:rsidRPr="004A411D">
        <w:rPr>
          <w:rFonts w:ascii="Arial" w:hAnsi="Arial" w:cs="Arial"/>
        </w:rPr>
        <w:t xml:space="preserve"> </w:t>
      </w:r>
      <w:r w:rsidR="005C4957">
        <w:rPr>
          <w:rFonts w:ascii="Arial" w:hAnsi="Arial" w:cs="Arial"/>
        </w:rPr>
        <w:t>is</w:t>
      </w:r>
      <w:r w:rsidRPr="004A411D">
        <w:rPr>
          <w:rFonts w:ascii="Arial" w:hAnsi="Arial" w:cs="Arial"/>
        </w:rPr>
        <w:t xml:space="preserve"> satisfied that it is expedient that development of the descriptions set out in the </w:t>
      </w:r>
      <w:r>
        <w:rPr>
          <w:rFonts w:ascii="Arial" w:hAnsi="Arial" w:cs="Arial"/>
        </w:rPr>
        <w:t xml:space="preserve">First </w:t>
      </w:r>
      <w:r w:rsidRPr="004A411D">
        <w:rPr>
          <w:rFonts w:ascii="Arial" w:hAnsi="Arial" w:cs="Arial"/>
        </w:rPr>
        <w:t xml:space="preserve">Schedule below should not be carried out </w:t>
      </w:r>
      <w:r>
        <w:rPr>
          <w:rFonts w:ascii="Arial" w:hAnsi="Arial" w:cs="Arial"/>
        </w:rPr>
        <w:t xml:space="preserve">on the land described in the </w:t>
      </w:r>
      <w:r w:rsidR="00010117">
        <w:rPr>
          <w:rFonts w:ascii="Arial" w:hAnsi="Arial" w:cs="Arial"/>
        </w:rPr>
        <w:t xml:space="preserve">proposed Deptford High Street and St Paul’s Church </w:t>
      </w:r>
      <w:r w:rsidR="005C4957">
        <w:rPr>
          <w:rFonts w:ascii="Arial" w:hAnsi="Arial" w:cs="Arial"/>
        </w:rPr>
        <w:t>Conservation Area being the land shown</w:t>
      </w:r>
      <w:r>
        <w:rPr>
          <w:rFonts w:ascii="Arial" w:hAnsi="Arial" w:cs="Arial"/>
        </w:rPr>
        <w:t xml:space="preserve"> edged red (for identification purposes only) on the Plan annexed hereto</w:t>
      </w:r>
      <w:r w:rsidRPr="004A411D">
        <w:rPr>
          <w:rFonts w:ascii="Arial" w:hAnsi="Arial" w:cs="Arial"/>
        </w:rPr>
        <w:t xml:space="preserve"> </w:t>
      </w:r>
      <w:r w:rsidR="005C4957">
        <w:rPr>
          <w:rFonts w:ascii="Arial" w:hAnsi="Arial" w:cs="Arial"/>
        </w:rPr>
        <w:t xml:space="preserve">and identified in the Second Schedule </w:t>
      </w:r>
      <w:r w:rsidRPr="004A411D">
        <w:rPr>
          <w:rFonts w:ascii="Arial" w:hAnsi="Arial" w:cs="Arial"/>
        </w:rPr>
        <w:t xml:space="preserve">unless planning permission is granted on an application made under Part III of the Town and Country Planning Act 1990 </w:t>
      </w:r>
      <w:r>
        <w:rPr>
          <w:rFonts w:ascii="Arial" w:hAnsi="Arial" w:cs="Arial"/>
        </w:rPr>
        <w:t>(</w:t>
      </w:r>
      <w:r w:rsidRPr="004A411D">
        <w:rPr>
          <w:rFonts w:ascii="Arial" w:hAnsi="Arial" w:cs="Arial"/>
        </w:rPr>
        <w:t>as amended</w:t>
      </w:r>
      <w:r>
        <w:rPr>
          <w:rFonts w:ascii="Arial" w:hAnsi="Arial" w:cs="Arial"/>
        </w:rPr>
        <w:t>)</w:t>
      </w:r>
      <w:r w:rsidRPr="004A411D">
        <w:rPr>
          <w:rFonts w:ascii="Arial" w:hAnsi="Arial" w:cs="Arial"/>
        </w:rPr>
        <w:t xml:space="preserve"> </w:t>
      </w:r>
    </w:p>
    <w:p w:rsidR="004A411D" w:rsidRPr="004A411D" w:rsidRDefault="004A411D" w:rsidP="004A411D">
      <w:pPr>
        <w:rPr>
          <w:rFonts w:ascii="Arial" w:hAnsi="Arial" w:cs="Arial"/>
        </w:rPr>
      </w:pPr>
      <w:r w:rsidRPr="004A411D">
        <w:rPr>
          <w:rFonts w:ascii="Arial" w:hAnsi="Arial" w:cs="Arial"/>
        </w:rPr>
        <w:t xml:space="preserve"> </w:t>
      </w:r>
    </w:p>
    <w:p w:rsidR="004A411D" w:rsidRPr="004A411D" w:rsidRDefault="004A411D" w:rsidP="004A411D">
      <w:pPr>
        <w:rPr>
          <w:rFonts w:ascii="Arial" w:hAnsi="Arial" w:cs="Arial"/>
        </w:rPr>
      </w:pPr>
      <w:r w:rsidRPr="004A411D">
        <w:rPr>
          <w:rFonts w:ascii="Arial" w:hAnsi="Arial" w:cs="Arial"/>
          <w:b/>
        </w:rPr>
        <w:t>NOW THEREFORE</w:t>
      </w:r>
      <w:r w:rsidRPr="004A411D">
        <w:rPr>
          <w:rFonts w:ascii="Arial" w:hAnsi="Arial" w:cs="Arial"/>
        </w:rPr>
        <w:t xml:space="preserve"> the said Council in pursuance of the power conferred on </w:t>
      </w:r>
      <w:r w:rsidR="005C4957">
        <w:rPr>
          <w:rFonts w:ascii="Arial" w:hAnsi="Arial" w:cs="Arial"/>
        </w:rPr>
        <w:t>it</w:t>
      </w:r>
      <w:r w:rsidRPr="004A411D">
        <w:rPr>
          <w:rFonts w:ascii="Arial" w:hAnsi="Arial" w:cs="Arial"/>
        </w:rPr>
        <w:t xml:space="preserve"> by article 4(1) of the </w:t>
      </w:r>
      <w:r w:rsidR="005C4957">
        <w:rPr>
          <w:rFonts w:ascii="Arial" w:hAnsi="Arial" w:cs="Arial"/>
        </w:rPr>
        <w:t>Order</w:t>
      </w:r>
      <w:r w:rsidRPr="004A411D">
        <w:rPr>
          <w:rFonts w:ascii="Arial" w:hAnsi="Arial" w:cs="Arial"/>
        </w:rPr>
        <w:t xml:space="preserve"> hereby direct</w:t>
      </w:r>
      <w:r w:rsidR="005C4957">
        <w:rPr>
          <w:rFonts w:ascii="Arial" w:hAnsi="Arial" w:cs="Arial"/>
        </w:rPr>
        <w:t>s</w:t>
      </w:r>
      <w:r w:rsidRPr="004A411D">
        <w:rPr>
          <w:rFonts w:ascii="Arial" w:hAnsi="Arial" w:cs="Arial"/>
        </w:rPr>
        <w:t xml:space="preserve"> that the permission granted by </w:t>
      </w:r>
      <w:r w:rsidR="005C4957">
        <w:rPr>
          <w:rFonts w:ascii="Arial" w:hAnsi="Arial" w:cs="Arial"/>
        </w:rPr>
        <w:t>A</w:t>
      </w:r>
      <w:r w:rsidRPr="004A411D">
        <w:rPr>
          <w:rFonts w:ascii="Arial" w:hAnsi="Arial" w:cs="Arial"/>
        </w:rPr>
        <w:t xml:space="preserve">rticle 3 of the Order shall not apply to development on the said land of the descriptions set out in the </w:t>
      </w:r>
      <w:r>
        <w:rPr>
          <w:rFonts w:ascii="Arial" w:hAnsi="Arial" w:cs="Arial"/>
        </w:rPr>
        <w:t xml:space="preserve">First </w:t>
      </w:r>
      <w:r w:rsidRPr="004A411D">
        <w:rPr>
          <w:rFonts w:ascii="Arial" w:hAnsi="Arial" w:cs="Arial"/>
        </w:rPr>
        <w:t xml:space="preserve">Schedule below  </w:t>
      </w:r>
    </w:p>
    <w:p w:rsidR="005C4957" w:rsidRDefault="005C4957">
      <w:pPr>
        <w:rPr>
          <w:rFonts w:ascii="Arial" w:hAnsi="Arial" w:cs="Arial"/>
        </w:rPr>
      </w:pPr>
    </w:p>
    <w:p w:rsidR="00C025CD" w:rsidRPr="00C415AF" w:rsidRDefault="00C415AF">
      <w:pPr>
        <w:rPr>
          <w:rFonts w:ascii="Arial" w:hAnsi="Arial" w:cs="Arial"/>
        </w:rPr>
      </w:pPr>
      <w:r>
        <w:rPr>
          <w:rFonts w:ascii="Arial" w:hAnsi="Arial" w:cs="Arial"/>
        </w:rPr>
        <w:t>This Direction shall come into force on (date one year after date of making direction)               if confirmed</w:t>
      </w:r>
    </w:p>
    <w:p w:rsidR="004A411D" w:rsidRDefault="004A411D" w:rsidP="004A411D">
      <w:pPr>
        <w:jc w:val="both"/>
      </w:pPr>
      <w:r>
        <w:br w:type="page"/>
      </w:r>
    </w:p>
    <w:p w:rsidR="004A411D" w:rsidRPr="004A411D" w:rsidRDefault="004A411D" w:rsidP="004A411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FIRST SCHEDULE</w:t>
      </w:r>
    </w:p>
    <w:p w:rsidR="004A411D" w:rsidRDefault="004A411D" w:rsidP="004A411D">
      <w:pPr>
        <w:jc w:val="both"/>
      </w:pPr>
    </w:p>
    <w:p w:rsidR="004A411D" w:rsidRDefault="00C415AF" w:rsidP="004A411D">
      <w:pPr>
        <w:jc w:val="both"/>
        <w:rPr>
          <w:rFonts w:ascii="Arial" w:hAnsi="Arial" w:cs="Arial"/>
          <w:lang w:val="en-US"/>
        </w:rPr>
      </w:pPr>
      <w:r w:rsidRPr="00C415AF">
        <w:rPr>
          <w:rFonts w:ascii="Arial" w:hAnsi="Arial" w:cs="Arial"/>
          <w:lang w:val="en-US"/>
        </w:rPr>
        <w:t>In respect of the Land described in the Second Schedule</w:t>
      </w:r>
      <w:r w:rsidR="004A411D" w:rsidRPr="00C415AF">
        <w:rPr>
          <w:rFonts w:ascii="Arial" w:hAnsi="Arial" w:cs="Arial"/>
          <w:lang w:val="en-US"/>
        </w:rPr>
        <w:t xml:space="preserve">: </w:t>
      </w:r>
    </w:p>
    <w:p w:rsidR="007362AF" w:rsidRDefault="007362AF" w:rsidP="004A411D">
      <w:pPr>
        <w:jc w:val="both"/>
        <w:rPr>
          <w:rFonts w:ascii="Arial" w:hAnsi="Arial" w:cs="Arial"/>
          <w:lang w:val="en-US"/>
        </w:rPr>
      </w:pPr>
    </w:p>
    <w:p w:rsidR="007362AF" w:rsidRDefault="007362AF" w:rsidP="004A411D">
      <w:pPr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Schedule 2 Part 1 </w:t>
      </w:r>
      <w:r w:rsidR="009E2A4B">
        <w:rPr>
          <w:rFonts w:ascii="Arial" w:hAnsi="Arial" w:cs="Arial"/>
          <w:b/>
          <w:u w:val="single"/>
          <w:lang w:val="en-US"/>
        </w:rPr>
        <w:t xml:space="preserve">of the Order - </w:t>
      </w:r>
      <w:r>
        <w:rPr>
          <w:rFonts w:ascii="Arial" w:hAnsi="Arial" w:cs="Arial"/>
          <w:b/>
          <w:u w:val="single"/>
          <w:lang w:val="en-US"/>
        </w:rPr>
        <w:t>Development within the curtilage of a dwellinghouse</w:t>
      </w:r>
    </w:p>
    <w:p w:rsidR="007362AF" w:rsidRPr="007362AF" w:rsidRDefault="007362AF" w:rsidP="004A411D">
      <w:pPr>
        <w:jc w:val="both"/>
        <w:rPr>
          <w:rFonts w:ascii="Arial" w:hAnsi="Arial" w:cs="Arial"/>
          <w:b/>
          <w:u w:val="single"/>
          <w:lang w:val="en-US"/>
        </w:rPr>
      </w:pPr>
    </w:p>
    <w:p w:rsidR="00A214C1" w:rsidRDefault="00010117" w:rsidP="00010117">
      <w:pPr>
        <w:ind w:left="720" w:hanging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ab/>
      </w:r>
      <w:r w:rsidR="007362AF">
        <w:rPr>
          <w:rFonts w:ascii="Arial" w:hAnsi="Arial" w:cs="Arial"/>
          <w:lang w:val="en-US"/>
        </w:rPr>
        <w:t>Class C – Any other alteration to the roof of a dwellinghouse</w:t>
      </w:r>
    </w:p>
    <w:p w:rsidR="00A214C1" w:rsidRDefault="00010117" w:rsidP="00A214C1">
      <w:pPr>
        <w:spacing w:line="240" w:lineRule="auto"/>
        <w:ind w:left="720" w:hanging="28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</w:t>
      </w:r>
      <w:r w:rsidR="00A214C1">
        <w:rPr>
          <w:rFonts w:ascii="Arial" w:hAnsi="Arial" w:cs="Arial"/>
          <w:lang w:val="en-US"/>
        </w:rPr>
        <w:tab/>
        <w:t>Class G  – The installation, alteration or replacement of a chimney, flue or soil and vent pipe on a dwellinghouse</w:t>
      </w:r>
    </w:p>
    <w:p w:rsidR="00A214C1" w:rsidRDefault="00010117" w:rsidP="00A214C1">
      <w:pPr>
        <w:spacing w:line="240" w:lineRule="auto"/>
        <w:ind w:left="720" w:hanging="28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 w:rsidR="00A214C1">
        <w:rPr>
          <w:rFonts w:ascii="Arial" w:hAnsi="Arial" w:cs="Arial"/>
          <w:lang w:val="en-US"/>
        </w:rPr>
        <w:tab/>
        <w:t xml:space="preserve">Class H  </w:t>
      </w:r>
      <w:r w:rsidR="009E2A4B">
        <w:rPr>
          <w:rFonts w:ascii="Arial" w:hAnsi="Arial" w:cs="Arial"/>
          <w:lang w:val="en-US"/>
        </w:rPr>
        <w:t>–</w:t>
      </w:r>
      <w:r w:rsidR="00A214C1">
        <w:rPr>
          <w:rFonts w:ascii="Arial" w:hAnsi="Arial" w:cs="Arial"/>
          <w:lang w:val="en-US"/>
        </w:rPr>
        <w:t xml:space="preserve"> </w:t>
      </w:r>
      <w:r w:rsidR="009E2A4B">
        <w:rPr>
          <w:rFonts w:ascii="Arial" w:hAnsi="Arial" w:cs="Arial"/>
          <w:lang w:val="en-US"/>
        </w:rPr>
        <w:t>The installation, alteration or replacement of a microwave antenna on a dwellinghouse or within the curtilage of a dwellinghouse</w:t>
      </w:r>
    </w:p>
    <w:p w:rsidR="00A214C1" w:rsidRPr="007362AF" w:rsidRDefault="00A214C1" w:rsidP="00A214C1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E2A4B" w:rsidRDefault="009E2A4B" w:rsidP="009E2A4B">
      <w:pPr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Schedule 2 Part 2  of the Order - Minor Operations</w:t>
      </w:r>
    </w:p>
    <w:p w:rsidR="004A411D" w:rsidRPr="00C415AF" w:rsidRDefault="004A411D" w:rsidP="004A411D">
      <w:pPr>
        <w:jc w:val="both"/>
        <w:rPr>
          <w:rFonts w:ascii="Arial" w:hAnsi="Arial" w:cs="Arial"/>
          <w:lang w:val="en-US"/>
        </w:rPr>
      </w:pPr>
    </w:p>
    <w:p w:rsidR="004A411D" w:rsidRPr="00C415AF" w:rsidRDefault="00010117" w:rsidP="0001011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</w:t>
      </w:r>
      <w:r>
        <w:rPr>
          <w:rFonts w:ascii="Arial" w:hAnsi="Arial" w:cs="Arial"/>
          <w:lang w:val="en-US"/>
        </w:rPr>
        <w:tab/>
      </w:r>
      <w:r w:rsidR="009E2A4B">
        <w:rPr>
          <w:rFonts w:ascii="Arial" w:hAnsi="Arial" w:cs="Arial"/>
          <w:lang w:val="en-US"/>
        </w:rPr>
        <w:t xml:space="preserve">Class </w:t>
      </w:r>
      <w:r w:rsidR="008C33C0">
        <w:rPr>
          <w:rFonts w:ascii="Arial" w:hAnsi="Arial" w:cs="Arial"/>
          <w:lang w:val="en-US"/>
        </w:rPr>
        <w:t>C</w:t>
      </w:r>
      <w:r w:rsidR="009E2A4B">
        <w:rPr>
          <w:rFonts w:ascii="Arial" w:hAnsi="Arial" w:cs="Arial"/>
          <w:lang w:val="en-US"/>
        </w:rPr>
        <w:t xml:space="preserve"> - </w:t>
      </w:r>
      <w:r w:rsidR="004A411D" w:rsidRPr="00C415AF">
        <w:rPr>
          <w:rFonts w:ascii="Arial" w:hAnsi="Arial" w:cs="Arial"/>
          <w:lang w:val="en-US"/>
        </w:rPr>
        <w:t xml:space="preserve">The painting of the exterior of </w:t>
      </w:r>
      <w:r w:rsidR="009E2A4B">
        <w:rPr>
          <w:rFonts w:ascii="Arial" w:hAnsi="Arial" w:cs="Arial"/>
          <w:lang w:val="en-US"/>
        </w:rPr>
        <w:t>any building or work</w:t>
      </w:r>
    </w:p>
    <w:p w:rsidR="00672B4B" w:rsidRPr="00672B4B" w:rsidRDefault="00672B4B" w:rsidP="00672B4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4A411D" w:rsidRDefault="004A411D" w:rsidP="004A411D">
      <w:pPr>
        <w:jc w:val="both"/>
      </w:pPr>
    </w:p>
    <w:p w:rsidR="00C415AF" w:rsidRDefault="00C415A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A411D" w:rsidRDefault="004A411D" w:rsidP="004A411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SECOND SCHEDULE</w:t>
      </w:r>
    </w:p>
    <w:p w:rsidR="00010117" w:rsidRDefault="00010117" w:rsidP="00010117">
      <w:pPr>
        <w:rPr>
          <w:rFonts w:ascii="Arial" w:hAnsi="Arial" w:cs="Arial"/>
        </w:rPr>
      </w:pPr>
    </w:p>
    <w:p w:rsidR="001E6362" w:rsidRPr="001E6362" w:rsidRDefault="001E6362" w:rsidP="001E6362">
      <w:pPr>
        <w:rPr>
          <w:rFonts w:ascii="Arial" w:hAnsi="Arial" w:cs="Arial"/>
        </w:rPr>
      </w:pPr>
      <w:r w:rsidRPr="001E6362">
        <w:rPr>
          <w:rFonts w:ascii="Arial" w:hAnsi="Arial" w:cs="Arial"/>
        </w:rPr>
        <w:t>o</w:t>
      </w:r>
      <w:r w:rsidRPr="001E6362">
        <w:rPr>
          <w:rFonts w:ascii="Arial" w:hAnsi="Arial" w:cs="Arial"/>
        </w:rPr>
        <w:tab/>
        <w:t>Nos. 1-9 (odd), Nos. 12-16 (even) and No. 20 Watson’s Street;</w:t>
      </w:r>
    </w:p>
    <w:p w:rsidR="001E6362" w:rsidRDefault="001E6362" w:rsidP="001E6362">
      <w:pPr>
        <w:rPr>
          <w:rFonts w:ascii="Arial" w:hAnsi="Arial" w:cs="Arial"/>
        </w:rPr>
      </w:pPr>
      <w:r w:rsidRPr="001E6362">
        <w:rPr>
          <w:rFonts w:ascii="Arial" w:hAnsi="Arial" w:cs="Arial"/>
        </w:rPr>
        <w:t>o</w:t>
      </w:r>
      <w:r w:rsidRPr="001E6362">
        <w:rPr>
          <w:rFonts w:ascii="Arial" w:hAnsi="Arial" w:cs="Arial"/>
        </w:rPr>
        <w:tab/>
        <w:t>Nos. 11- 17 Tanners Hill.</w:t>
      </w:r>
    </w:p>
    <w:p w:rsidR="001E6362" w:rsidRDefault="001E6362" w:rsidP="001E6362">
      <w:pPr>
        <w:rPr>
          <w:rFonts w:ascii="Arial" w:hAnsi="Arial" w:cs="Arial"/>
        </w:rPr>
      </w:pPr>
    </w:p>
    <w:p w:rsidR="004A411D" w:rsidRDefault="004A411D" w:rsidP="001E6362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A411D">
        <w:rPr>
          <w:rFonts w:ascii="Arial" w:hAnsi="Arial" w:cs="Arial"/>
        </w:rPr>
        <w:t xml:space="preserve">eing addresses within </w:t>
      </w:r>
      <w:r w:rsidR="00010117">
        <w:rPr>
          <w:rFonts w:ascii="Arial" w:hAnsi="Arial" w:cs="Arial"/>
        </w:rPr>
        <w:t>t</w:t>
      </w:r>
      <w:r w:rsidRPr="004A411D">
        <w:rPr>
          <w:rFonts w:ascii="Arial" w:hAnsi="Arial" w:cs="Arial"/>
        </w:rPr>
        <w:t xml:space="preserve">he </w:t>
      </w:r>
      <w:r w:rsidR="00010117">
        <w:rPr>
          <w:rFonts w:ascii="Arial" w:hAnsi="Arial" w:cs="Arial"/>
        </w:rPr>
        <w:t xml:space="preserve">Deptford High Street and St Paul’s Church </w:t>
      </w:r>
      <w:r w:rsidRPr="004A411D">
        <w:rPr>
          <w:rFonts w:ascii="Arial" w:hAnsi="Arial" w:cs="Arial"/>
        </w:rPr>
        <w:t>Conservation Area</w:t>
      </w: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Default="00C415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15AF" w:rsidRDefault="00C415AF" w:rsidP="004A411D">
      <w:pPr>
        <w:ind w:firstLine="720"/>
        <w:rPr>
          <w:rFonts w:ascii="Arial" w:hAnsi="Arial" w:cs="Arial"/>
        </w:rPr>
      </w:pPr>
      <w:r w:rsidRPr="00C415AF">
        <w:rPr>
          <w:rFonts w:ascii="Arial" w:hAnsi="Arial" w:cs="Arial"/>
          <w:b/>
        </w:rPr>
        <w:lastRenderedPageBreak/>
        <w:t>Made</w:t>
      </w:r>
      <w:r>
        <w:rPr>
          <w:rFonts w:ascii="Arial" w:hAnsi="Arial" w:cs="Arial"/>
        </w:rPr>
        <w:t xml:space="preserve"> under the COMMON SEAL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C415AF" w:rsidRDefault="00C415AF" w:rsidP="004A41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MAYOR AND BURGESSES OF THE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C415AF" w:rsidRDefault="00C415AF" w:rsidP="004A41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LONDON BOROUGH OF LEWISHAM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C415AF" w:rsidRDefault="00C415AF" w:rsidP="004A41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On   </w:t>
      </w:r>
    </w:p>
    <w:p w:rsidR="00C415AF" w:rsidRDefault="00C415AF" w:rsidP="004A41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the presence of:-</w:t>
      </w: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Default="00C415AF" w:rsidP="004A411D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Confirmed </w:t>
      </w:r>
      <w:r>
        <w:rPr>
          <w:rFonts w:ascii="Arial" w:hAnsi="Arial" w:cs="Arial"/>
        </w:rPr>
        <w:t>under THE COMMON SEAL 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C415AF" w:rsidRDefault="00C415AF" w:rsidP="004A41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MAYOR AND BURGESSES OF THE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C415AF" w:rsidRDefault="00C415AF" w:rsidP="004A41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LONDON BOROUGH OF LEWISHAM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)</w:t>
      </w:r>
    </w:p>
    <w:p w:rsidR="00C415AF" w:rsidRDefault="00C415AF" w:rsidP="004A41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ON      </w:t>
      </w:r>
    </w:p>
    <w:p w:rsidR="00C415AF" w:rsidRDefault="00C415AF" w:rsidP="004A41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the presence of:-</w:t>
      </w: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Pr="00C415AF" w:rsidRDefault="00C415AF" w:rsidP="004A411D">
      <w:pPr>
        <w:ind w:firstLine="720"/>
        <w:rPr>
          <w:rFonts w:ascii="Arial" w:hAnsi="Arial" w:cs="Arial"/>
        </w:rPr>
      </w:pP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Default="00C415AF" w:rsidP="004A411D">
      <w:pPr>
        <w:ind w:firstLine="720"/>
        <w:rPr>
          <w:rFonts w:ascii="Arial" w:hAnsi="Arial" w:cs="Arial"/>
        </w:rPr>
      </w:pPr>
    </w:p>
    <w:p w:rsidR="00C415AF" w:rsidRPr="004A411D" w:rsidRDefault="00C415AF" w:rsidP="004A411D">
      <w:pPr>
        <w:ind w:firstLine="720"/>
        <w:rPr>
          <w:rFonts w:ascii="Arial" w:hAnsi="Arial" w:cs="Arial"/>
        </w:rPr>
      </w:pPr>
    </w:p>
    <w:sectPr w:rsidR="00C415AF" w:rsidRPr="004A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98" w:rsidRDefault="00823098" w:rsidP="004A411D">
      <w:pPr>
        <w:spacing w:after="0" w:line="240" w:lineRule="auto"/>
      </w:pPr>
      <w:r>
        <w:separator/>
      </w:r>
    </w:p>
  </w:endnote>
  <w:endnote w:type="continuationSeparator" w:id="0">
    <w:p w:rsidR="00823098" w:rsidRDefault="00823098" w:rsidP="004A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98" w:rsidRDefault="00823098" w:rsidP="004A411D">
      <w:pPr>
        <w:spacing w:after="0" w:line="240" w:lineRule="auto"/>
      </w:pPr>
      <w:r>
        <w:separator/>
      </w:r>
    </w:p>
  </w:footnote>
  <w:footnote w:type="continuationSeparator" w:id="0">
    <w:p w:rsidR="00823098" w:rsidRDefault="00823098" w:rsidP="004A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50D"/>
    <w:multiLevelType w:val="hybridMultilevel"/>
    <w:tmpl w:val="BC78DE24"/>
    <w:lvl w:ilvl="0" w:tplc="5A0E36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8F1C4A"/>
    <w:multiLevelType w:val="hybridMultilevel"/>
    <w:tmpl w:val="6BBA342C"/>
    <w:lvl w:ilvl="0" w:tplc="F07C4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393B"/>
    <w:multiLevelType w:val="hybridMultilevel"/>
    <w:tmpl w:val="7DEE915C"/>
    <w:lvl w:ilvl="0" w:tplc="0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" w15:restartNumberingAfterBreak="0">
    <w:nsid w:val="55C000E1"/>
    <w:multiLevelType w:val="hybridMultilevel"/>
    <w:tmpl w:val="F19CA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1D"/>
    <w:rsid w:val="00010117"/>
    <w:rsid w:val="000410AD"/>
    <w:rsid w:val="001E6362"/>
    <w:rsid w:val="002A679E"/>
    <w:rsid w:val="002F738C"/>
    <w:rsid w:val="004A411D"/>
    <w:rsid w:val="004F7E04"/>
    <w:rsid w:val="005261CD"/>
    <w:rsid w:val="005C4957"/>
    <w:rsid w:val="00672B4B"/>
    <w:rsid w:val="007362AF"/>
    <w:rsid w:val="00823098"/>
    <w:rsid w:val="008C33C0"/>
    <w:rsid w:val="009E2A4B"/>
    <w:rsid w:val="00A214C1"/>
    <w:rsid w:val="00B73B53"/>
    <w:rsid w:val="00C025CD"/>
    <w:rsid w:val="00C415AF"/>
    <w:rsid w:val="00D3322F"/>
    <w:rsid w:val="00E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FA5D9-11BE-4441-8522-F0F62C4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303F6542</Template>
  <TotalTime>1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Paula</dc:creator>
  <cp:keywords/>
  <dc:description/>
  <cp:lastModifiedBy>Ecclestone, Joanna</cp:lastModifiedBy>
  <cp:revision>2</cp:revision>
  <cp:lastPrinted>2018-06-01T10:25:00Z</cp:lastPrinted>
  <dcterms:created xsi:type="dcterms:W3CDTF">2019-05-21T10:21:00Z</dcterms:created>
  <dcterms:modified xsi:type="dcterms:W3CDTF">2019-05-21T10:21:00Z</dcterms:modified>
</cp:coreProperties>
</file>